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ZA25.014631 vom 7. April 2026</w:t>
      </w:r>
    </w:p>
    <w:p>
      <w:r>
        <w:t>VD Tribunal cantonal, 2026-04-07, FR</w:t>
      </w:r>
    </w:p>
    <w:p>
      <w:r>
        <w:rPr>
          <w:b/>
        </w:rPr>
        <w:t xml:space="preserve">Quelle: </w:t>
      </w:r>
      <w:r>
        <w:t>https://mcp.opencaselaw.ch/entscheid/vd_gerichte_ZA25.014631</w:t>
      </w:r>
    </w:p>
    <w:p>
      <w:r>
        <w:t>FR: VD_GERICHTE ZA25.014631 du 7 avril 2026</w:t>
      </w:r>
    </w:p>
    <w:p>
      <w:r>
        <w:t>IT: VD_GERICHTE ZA25.014631 del 7 aprile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de la cause ne ressort pas directement des conclusions. Le recourant ne prétend toutefois pas au paiement d’indemnités journalières ni à une indemnité pour atteinte à l’intégrité. Seule paraît litigieuse la prise en charge de la part de l’assuré aux frais d’hospitalisation, l’assureur-maladie n’ayant pas fait opposition à la décision. La présente cause relève donc de la compétence du juge unique vu la valeur litigieuse manifestement inférieure à 30’000 fr (art. 94 al. 1 let. a LPA-VD). 10J001</w:t>
      </w:r>
    </w:p>
    <w:p>
      <w:r>
        <w:t>- 7 -</w:t>
      </w:r>
    </w:p>
    <w:p>
      <w:r>
        <w:rPr>
          <w:b/>
        </w:rPr>
        <w:t>E. 2</w:t>
      </w:r>
    </w:p>
    <w:p>
      <w:r>
        <w:t>Le litige porte sur le point de savoir si l’intimée était fondée à refuser au recourant la prise en charge des frais de traitement consécutifs à l’événement du 8 août 2023. La cause présente la particularité que le fait susceptible d’être qualifié d’accident a eu lieu pendant un traitement médical.</w:t>
      </w:r>
    </w:p>
    <w:p>
      <w:r>
        <w:rPr>
          <w:b/>
        </w:rPr>
        <w:t>E. 3</w:t>
      </w:r>
    </w:p>
    <w:p>
      <w:r>
        <w:t>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c) Par facteur extérieur, il faut comprendre une cause externe et non interne au corps humain (ATF 142 V 219 consid. 4.3.2 ; 139 V 327 consid. 3.3.1 ; pour une casuistique : TF 8C_235/2018 du 16 avril 2019 consid. 6.2). La cause extérieure peut être d’origine mécanique (un choc, une chute, etc.), électrique (une électrocution, par exemple), chimique (l’émanation de vapeurs toxiques, par exemple), thermique (une explosion, une brûlure provoquée par de l’eau bouillante ou des jets de vapeur, etc.) ou encore ionisante (des radiations, par exemple ; ATF 150 V 229 consid. 4.4.1 ; TF 8C_337/2024 du 29 novembre 2024 consid. 4).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10J001</w:t>
      </w:r>
    </w:p>
    <w:p>
      <w:r>
        <w:t>- 8 - qualifier de quotidiens ou d’habituels, autrement dit des incidents et péripéties de la vie courante (ATF 150 V 229 consid. 4.1.1 ; 142 V 219 consid. 4.3.1 ; 134 V 72 consid. 4.1.1 et 4.3.1 ; Stéphanie Perrenoud, in : Anne-Sylvie Dupont/Margit Moser-Szeless [édit.], Loi sur la partie générale des assurances sociales, Commentaire romand, 2e éd., Bâle 2015, n° 25 et 25a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 Soziale Sicherheit, Schweizerisches Bundes-verwaltungsrecht [SBVR], Vol. XIV, 3e éd., Bâle 2016, n° 88 p. 922). d) Les atteintes survenues à l’occasion d’actes médicaux ne remplissent l’exigence du caractère extraordinaire que si l’acte médical s’écarte considérablement de la pratique courante en médecine et qu’il implique de ce fait objectivement de gros risques. Une erreur de traitement peut, à titre exceptionnel, être constitutive d’un accident s’il s’agit d’une confusion ou maladresse grossière et extraordinaire, voire d’un préjudice intentionnel, avec lequel personne ne comptait ni ne devait compter (ATF 121 V 35 consid. 1b ; 118 V 283 consid. 2b ; TF 8C_646/2023 du 8 juillet 2024 consid. 3.1 et les références ; Perrenoud, op. cit., n° 36 ad art. 4 LPGA, avec les références ; Frésard/Moser-Szeless, op. cit., n° 97 p. 923). L’existence d’un accident est une question qui doit être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 TF 8C_83/2024 du 27 novembre 2024 consid. 3.2 et les références). Par ailleurs, l’indication d’une intervention chirurgicale n’est pas un critère juridiquement pertinent pour juger si un acte médical répond à la définition légale de l’accident (ATF 121 V 35 consid. 1b ; 118 V 283 ; TF 8C_688/2021 du 8 juin 2022 consid. 3.2).</w:t>
      </w:r>
    </w:p>
    <w:p>
      <w:r>
        <w:rPr>
          <w:b/>
        </w:rPr>
        <w:t>E. 4</w:t>
      </w:r>
    </w:p>
    <w:p>
      <w:r>
        <w:t>a) Dans le domaine des assurances sociales, le juge fonde sa décision, sauf dispositions contraires de la loi, sur les faits qui, faute d’être 10J001</w:t>
      </w:r>
    </w:p>
    <w:p>
      <w:r>
        <w:t>- 9 -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10J001</w:t>
      </w:r>
    </w:p>
    <w:p>
      <w:r>
        <w:t>- 10 -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w:t>
      </w:r>
    </w:p>
    <w:p>
      <w:r>
        <w:rPr>
          <w:b/>
        </w:rPr>
        <w:t>E. 5</w:t>
      </w:r>
    </w:p>
    <w:p>
      <w:r>
        <w:t>En l’occurrence, il n’est pas contesté que le recourant a été atteint d’un emphysème sous-cutané au sous-mandibulaire droit ayant nécessité une hospitalisation du 8 août 2023 au 11 août 2023 ainsi qu’une incapacité de travail à 100% du 8 août 2023 jusqu’au 18 août 2023 suite au traitement dentaire qui a eu lieu le 8 août 2023. Les parties sont en revanche divisées sur la question de savoir si le traitement précité constitue un facteur extérieur de nature extraordinaire. Selon la jurisprudence précitée, tel est le cas uniquement si l’acte médical s’écarte considérablement de la pratique courante en médecine et qu’il implique de ce fait objectivement de gros risques. La décision attaquée a nié le caractère extraordinaire du facteur extérieur en considérant qu’il résultait des rapports médicaux que le séchage de la dent réalisé par la Dre Z.________ était un acte courant même s’il pouvait exceptionnellement causer un emphysème. Le recourant soutient en substance que la Dre Z.________ aurait utilisée d’emblée une soufflette à air comprimé pour nettoyer sa dent et non un appareil à ultrasons. A cet égard, on doit d’abord relever que, contrairement à ce que paraît soutenir le recourant, les déclarations de la Dre Z.________ n’ont pas varié, puisqu’elles avaient indiqué – certes dans une forme abrégée (« US ») – le traitement par ultrasons dans ses notes de consultation avant d’en faire état dans son rapport du 10 avril 2024. Par ailleurs, il résulte du dossier que le rapport écrit a été établi certes plusieurs mois après le traitement, mais que l’interpellation de la Dre Z.________ faisait suite à de nombreux courriers de relance adressés par l’intimée au recourant et restés sans réponse de la part de ce dernier. 10J001</w:t>
      </w:r>
    </w:p>
    <w:p>
      <w:r>
        <w:t>- 11 - Comme l’emphysème est par définition provoqué par un afflux d’air sous pression, il est hautement probable qu’au moment de débuter le traitement par ultrasons, la Dre Z.________ a utilisé de l’air comprimé pour sécher la dent ; comme le relève le Dr M.________, dont les déclarations n’ont pas été contredites par l’intimée, un nettoyeur à ultrasons n’utilise pas de l’air, mais de l’eau. Toutefois, contrairement à ce que soutient le recourant, cet élément ne suffit pas à considérer que le traitement du 8 août 2023 puisse être qualifié de facteur extérieur extraordinaire au sens de la jurisprudence précitée. En effet, les rapports du Dr K.________, médecin-conseil de l’intimée, et du Dr M.________, mandaté par le recourant, sont concordants sur le fait que le risque d’emphysème en cas de traitement d’une dent cariée avec infection des tissus environnants – comme lors du traitement du 8 août 2023 – existe, mais qu’il est rare. Le Dr M.________ reconnaît d’ailleurs que le Dr K.________ a décrit parfaitement bien le processus dans son rapport. Certes, le Dr M.________ expose que les médecins-dentistes sont tenus de s’abstenir de procéder à des thérapies qui pourraient favoriser un éventuel emphysème comme l’utilisation d’une soufflette à air, d’un aéropolisseur ou d’un rinçage désinfectant. Or, comme le reconnaît d’ailleurs le Dr M.________, il n’existe aucune indice permettant d’établir ni même de rendre vraisemblable que la Dre Z.________ aurait utilisé l’une de ces méthodes lors du traitement dentaire du 8 août 2023. Bien au contraire, elle a informé le recourant – qui ne le conteste pas sérieusement – de la nécessité d’un traitement par ultrasons et a indiqué que c’est en débutant celui-ci que l’emphysème s’est déclenché. Autrement dit, le traitement réalisé par le Dre Z.________ était conforme à celui qui est en général réalisé en présence d’une infection dentaire telle que celle que présentait le recourant où un risque d’emphysème existe, mais doit être qualifié de rare. Rien ne permet donc de rendre vraisemblable l’existence d’un acte médical s’écartant de la pratique courante et impliquant objectivement de gros risques. 10J001</w:t>
      </w:r>
    </w:p>
    <w:p>
      <w:r>
        <w:t>- 12 - C’est dès lors à bon droit que l’intimée a nié le caractère extraordinaire du facteur extérieur en lien avec l’intervention dentaire du 8 août 2023.</w:t>
      </w:r>
    </w:p>
    <w:p>
      <w:r>
        <w:rPr>
          <w:b/>
        </w:rPr>
        <w:t>E. 6</w:t>
      </w:r>
    </w:p>
    <w:p>
      <w:r>
        <w:t>Il résulte de ce qui précède que le recours, mal fondé, doit être rejeté et la décision sur opposition attaquée confirmée. Il n’y a pas lieu de percevoir de frais judiciaires (art. 61 let. f bis LPGA), ni d’allouer de dépens à la partie recourante, qui n’obtient pas gain de cause (art. 61 let. g LPGA). Par ces motifs, le juge unique p r o n o n c e : I. Le recours est rejeté. II. La décision sur opposition rendue le 25 février 2025 par Helvetia Compagnie Suisse d’Assurances SA est confirmée. III. Il n’est pas perçu de frais judiciaires, ni alloué de dépens. Le juge unique : Le greffier : 10J001</w:t>
      </w:r>
    </w:p>
    <w:p>
      <w:r>
        <w:t>- 13 - Du L’arrêt qui précède est notifié à : - R.________, pour le recourant, - Helvetia Compagnie Suisse d’Assurances SA, - Office fédéral de la santé publiques,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