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ZA25.009372 vom 10. Dezember 2025</w:t>
      </w:r>
    </w:p>
    <w:p>
      <w:r>
        <w:t>VD Tribunal cantonal, 2025-12-10, FR</w:t>
      </w:r>
    </w:p>
    <w:p>
      <w:r>
        <w:rPr>
          <w:b/>
        </w:rPr>
        <w:t xml:space="preserve">Quelle: </w:t>
      </w:r>
      <w:r>
        <w:t>https://mcp.opencaselaw.ch/entscheid/vd_gerichte_ZA25.009372</w:t>
      </w:r>
    </w:p>
    <w:p>
      <w:r>
        <w:t>FR: VD_GERICHTE ZA25.009372 du 10 décembre 2025</w:t>
      </w:r>
    </w:p>
    <w:p>
      <w:r>
        <w:t>IT: VD_GERICHTE ZA25.009372 del 10 dicembre 2025</w:t>
      </w:r>
    </w:p>
    <w:p>
      <w:pPr>
        <w:pStyle w:val="Heading2"/>
      </w:pPr>
      <w:r>
        <w:t>Erwägungen</w:t>
      </w:r>
    </w:p>
    <w:p>
      <w:r>
        <w:rPr>
          <w:b/>
        </w:rPr>
        <w:t>E. 7</w:t>
      </w:r>
    </w:p>
    <w:p>
      <w:r>
        <w:t>En définitive, le recours, mal fondé, doit être rejeté et la décision sur opposition litigieuse confirmée. Il n’y a pas lieu de percevoir de frais judiciaires (art. 61 let. fbis LPGA), ni d’allouer de dépens à la recourante, qui n’obtient pas gain de cause (art. 61 let. g LPGA). La partie recourante est au bénéfice de l’assistance judiciaire. Me Raphaël Guisan peut prétendre à une équitable indemnité pour son mandat d’office. Après examen de la liste des opérations déposée le 14 mai 2025 et compte tenu de l’importance et de la complexité du litige, il</w:t>
      </w:r>
    </w:p>
    <w:p>
      <w:r>
        <w:t>- 16 - convient d’arrêter l’indemnité à 1'668 fr. 55, débours et TVA compris (art. 2, 3 al. 1 et 3bis RAJ [règlement cantonal du 7 décembre 2010 sur l’assistance judiciaire en matière civile ; BLV 211.02.3]). La recourante est rendue attentive au fait qu’elle devra rembourser l’indemnité provisoirement prise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