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ZA25.007512 vom 11. August 2025</w:t>
      </w:r>
    </w:p>
    <w:p>
      <w:r>
        <w:t>VD Tribunal cantonal, 2025-08-11, FR</w:t>
      </w:r>
    </w:p>
    <w:p>
      <w:r>
        <w:rPr>
          <w:b/>
        </w:rPr>
        <w:t xml:space="preserve">Quelle: </w:t>
      </w:r>
      <w:r>
        <w:t>https://mcp.opencaselaw.ch/entscheid/vd_gerichte_ZA25.007512</w:t>
      </w:r>
    </w:p>
    <w:p>
      <w:r>
        <w:t>FR: VD_GERICHTE ZA25.007512 du 11 août 2025</w:t>
      </w:r>
    </w:p>
    <w:p>
      <w:r>
        <w:t>IT: VD_GERICHTE ZA25.007512 del 11 agosto 2025</w:t>
      </w:r>
    </w:p>
    <w:p>
      <w:pPr>
        <w:pStyle w:val="Heading2"/>
      </w:pPr>
      <w:r>
        <w:t>Erwägungen</w:t>
      </w:r>
    </w:p>
    <w:p>
      <w:r>
        <w:rPr>
          <w:b/>
        </w:rPr>
        <w:t>E. 15</w:t>
      </w:r>
    </w:p>
    <w:p>
      <w:r>
        <w:t>avril 2024 ne puisse être apportée, il est vraisemblable que le tableau douloureux chronique actuel découle des conséquences de l’accident. Selon le recourant, les Drs V.________ et G.________ ont, dans leur rapport du 29 avril 2024, constaté qu’il souffrait d’une diminution du galbe musculaire au niveau du deltoïde gauche, d’une discrète bascule de la scapula avec décollement de la face spinale et discrète contracture trapézique gauche, en particulier. A ses yeux, il s’agit bien d’une aggravation objectivable liée à l’accident du 15 avril 2014 nécessitant des traitements. A titre de mesures d’instruction, le recourant a requis la mise en œuvre d’une expertise médicale, pluridisciplinaire si nécessaire, ainsi</w:t>
      </w:r>
    </w:p>
    <w:p>
      <w:r>
        <w:t>- 24 - que la production de son dossier. Il a également demandé le bénéfice de l’assistance judiciaire. Par courrier du 25 février 2025, la CNA a relevé que la partie recourante n’alléguait aucun élément nouveau, de sorte qu’elle a renoncé à déposer formellement une réponse et renvoyé à sa décision sur opposition du 15 janvier 2025. Elle a produit le dossier de l’assuré, ce dont ce dernier a été informé le 27 février 2025. La juge instructrice a, par décision du 10 mars 2025, accordé au recourant le bénéfice de l’assistance judiciaire avec effet au 17 février 2025, désigné Me Guy Lonchamp en qualité de mandataire d’office et astreint l’intéressé à payer une franchise mensuelle de 50 francs. Par déterminations du 16 mai 2025, le recourant a transmis des informations médicales complémentaires en expliquant présenter des omalgies gauches chroniques liées à une lésion partielle de la coiffe des rotateurs et aggravée par une probable dyskinésie scapulaire gauche avec une faiblesse du grand dentelé gauche. Il a précisé que ses omalgies étaient liées à une lésion qui ne pouvait être que la lésion partielle de la coiffe des rotateurs remontant à la fracture ouverte de l’humérus gauche du 15 avril 2014. Il a encore expliqué que ses douleurs actuelles n’avaient pas pour origine une maladie dégénérative, comme le soutenait l’intimée pour mettre fin à ses prestations. A titre subsidiaire, il a requis le renvoi du dossier à l’intimée pour la mise en œuvre d’une expertise, dès lors que les rapports des Drs M.________ et V.________ étaient contradictoires avec le rapport du 2 avril 2025 du Prof. F.________, spécialiste en médecine physique et réhabilitation, et du Dr I.________, respectivement médecin chef et médecin assistant à la Consultation de médecine physique et réhabilitation du Centre hospitalier K.________, produit à l’appui de ses déterminations. Ce rapport, faisant suite à une consultation du 21 mars 2025, a en particulier la teneur suivante : « Suite de prise en charge Monsieur Q.________ présente des omalgies gauches chroniques liées à une lésion partielle de la coiffe des rotateurs et aggravés par une</w:t>
      </w:r>
    </w:p>
    <w:p>
      <w:r>
        <w:t>- 25 - probable dyskinésie scapulaire gauche avec une faiblesse du grand dentelé gauche. Nous proposons une prise en charge conservatrice ciblée par physiothérapie visée à la stabilisation scapulaire et adressons le patient à M. [...], chiropracteur à [...] pour une prise en charge complémentaire en chiropraxie. En cas de stagnation clinique, une nouvelle infiltration corticoïde gléno-humérale postérieure pourra être envisagée. Par ailleurs, nous organisons un ENMG [électroneuromyogramme] afin d’exclure une atteinte chronique du nerf thoracique long (grand dentelé) post-traumatique, même si la suspicion clinique est basse. Au niveau du genou droit, les douleurs chroniques sont d’évolution lente mais globalement favorable, en lien avec la chirurgie passée. La physiothérapie doit être poursuivie.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droit à la prise en charge par l’intimée de ses troubles à l’épaule gauche depuis le</w:t>
      </w:r>
    </w:p>
    <w:p>
      <w:r>
        <w:rPr>
          <w:b/>
        </w:rPr>
        <w:t>E. 20</w:t>
      </w:r>
    </w:p>
    <w:p>
      <w:r>
        <w:t>novembre 2023, respectivement sur la question de savoir si les troubles en question sont en lien avec l’accident du 15 avril 2014. Il est pour le surplus constant que la décision sur opposition du 24 avril 2024 de suppression de rente depuis le 1er janvier 2023 et de restitution, qui n’a pas été contestée, est définitive.</w:t>
      </w:r>
    </w:p>
    <w:p>
      <w:r>
        <w:t>- 26 - 3.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w:t>
      </w:r>
    </w:p>
    <w:p>
      <w:r>
        <w:t>- 27 - V 138 consid. 5.1.1 et les références). En matière de troubles physiques, la causalité adéquate se confond pratiquement avec la causalité naturelle (ATF 140 V 356 consid. 3.2 et la référence ; TF 8C_686/2024 du 4 avril 2025 consid. 3.1.1 ; TF 8C_404/2020 du 11 juin 2021 consid. 6.2.1). c) La responsabilité de l’assureur-accidents s’étend, en principe, à toutes les conséquences dommageables qui se trouvent dans un rapport de causalité naturelle et adéquate avec l’événement assuré (ATF 148 V 356 consid. 3). Les prestations d’assurance sont donc également allouées en cas de rechutes et de séquelles tardives (art. 11 OLAA [ordonnance fédérale du 20 décembre 1982 sur l’assurance- 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(TF 8C_232/2019 du 26 juin 2020 consid. 3.3 et les références).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w:t>
      </w:r>
    </w:p>
    <w:p>
      <w:r>
        <w:t>- 28 - consid. 6.1 et les références). Faute de preuve, la décision sera défavorable à la personne assurée (TF 8C_249/2018 du 12 mars 2019 consid. 4.2 et les références). 4.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w:t>
      </w:r>
    </w:p>
    <w:p>
      <w:r>
        <w:t>- 29 -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l’occurrence, le recourant a été victime d’un accident le 15 avril 2014 occasionnant une fracture diaphysaire ouverte de l’humérus gauche, ainsi qu’une fracture plurifragmentaire de la rotule droite, traitées respectivement par enclouage et par cerclage le jour même de l’événement (cf. rapports du Service d’orthopédie et traumatologie du Centre hospitalier K.________ du 23 avril 2014 et des Drs A.________ et H.________ du 12 juin 2015). L’ablation du matériel d’ostéosynthèse de la</w:t>
      </w:r>
    </w:p>
    <w:p>
      <w:r>
        <w:t>- 30 - rotule droite a eu lieu le 17 avril 2015 et celle de l’épaule gauche le 14 mars 2018. Le recourant a été examiné à plusieurs reprises par le médecin d’arrondissement de la CNA, le Dr W.________, notamment les 17 février, 27 octobre 2015, 9 mars et 1er septembre 2016, qui a attesté une pleine capacité de travail dans une activité adaptée dès le 1er novembre 2016. Le 4 novembre 2016, la CNA a reconnu au recourant le droit à une rente d’invalidité de 16 % à compter du 1er novembre 2016. Elle a ensuite annulé cette décision et octroyé, par décision du 23 février 2018, une rente de 29 % tenant compte d’une baisse de rendement de 15 % retenue par son psychiatre-conseil dans son rapport du 21 décembre 2017. Le 28 mars 2018, le recourant a fait opposition à cette décision et la CNA a rendu une décision sur opposition le 5 avril 2018, qui a été confirmée par la Cour des assurances sociales du Tribunal cantonal par arrêt du 11 novembre 2019 (AA 86/18 – 148/2019). Le 1er juillet 2022, le recourant a repris une activité professionnelle à plein temps (cf. questionnaire du 3 octobre 2023), entraînant la suppression de sa rente d’invalidité dès le 1er janvier 2023, selon décision du 26 octobre 2023. Les 27 novembre 2023 et 18 mars 2024, le recourant s’est opposé à cette décision, qui a été confirmée par décision sur opposition du 24 avril 2024 de l’intimée, que l’intéressé n’a pas contestée et qui est entrée en force. b) Le 22 novembre 2023, l’employeur de l’assuré a annoncé à l’intimée une rechute de l’événement du 15 avril 2014, le recourant connaissant des douleurs au genou droit et à l’épaule gauche. L’intimée a toutefois refusé de prendre en charge les troubles de l’épaule gauche, par décision du 28 mars 2024, en se basant sur une appréciation de la Dre R.________ du 30 janvier 2024, selon laquelle il n’y avait pas d’aggravation objectivable liés à l’accident et nécessitant un traitement. Le recourant s’est opposé à ce refus, estimant que ses douleurs découlaient directement de l’accident de 2014, en s’appuyant sur les rapports des Drs M.________, V.________ et G.________ des 15 février, 29</w:t>
      </w:r>
    </w:p>
    <w:p>
      <w:r>
        <w:t>- 31 - avril et 28 juin 2024. Dans sa décision sur opposition du 15 janvier 2025, l’intimée a toutefois retenu, sur la base de l’appréciation de la Dre R.________ du 16 octobre 2024, qu’il n’y avait pas de lien de causalité entre les douleurs de l’épaule gauche et l’événement accidentel de 2014. On précisera ici que l’atteinte au genou droit n’est, à ce stade, pas litigieuse, tout comme l’arthroplastie fémoro-patellaire du 24 avril 2024. aa) Il est vrai qu’une péjoration de l’épaule du recourant était rapportée dans le rapport de consultation du Centre hospitalier K.________ du 8 décembre 2023, sans toutefois que ne soit explicitée l’origine de cette péjoration, le rapport se limitant à mentionner l’absence de traumatisme et de modification des activités. Le Dr J.________ a, dans son rapport du 19 décembre 2023, signalé des douleurs persistantes de l’épaule gauche, sans se prononcer sur l’origine de ces douleurs, tout comme le Dr E.________ qui n’a fait que mentionner l’existence d’une gêne à l’épaule gauche dans son rapport du 18 janvier 2024. Pour sa part, le Dr M.________ s’est limité à indiquer l’existence d’une atteinte principalement antérieure de la coiffe des rotateurs, sans en préciser le lien avec l’accident de 2014. Quant à la R.________, elle a retenu, dans son appréciation du 30 janvier 2024, qu’il n’y avait pas d’aggravation objectivable liée à l’accident et nécessitant un traitement. bb) Dans son appréciation du 16 octobre 2024, la Dre R.________ a indiqué que les atteintes du recourant à son membre supérieur gauche consistaient en une atteinte partielle de la coiffe des rotateurs (sus-épineux), avec une bursite sous-acromio-deltoïdienne, une dyskinésie scapulo-thoracique et une diminution du galbe du deltoïde. Ces atteintes n’étaient pas en lien de causalité naturelle pour le moins vraisemblable avec l’événement du 15 avril 2014, hormis la diminution du galbe du deltoïde, qui pouvait être expliquée par l’abord chirurgical avec deux vis de verrouillage du clou. A cet égard, elle a expliqué que la diminution du galbe était probablement due à l’événement en raison de la fracture de la diaphyse humérale moyenne qui avait nécessité un clou centro-médullaire, introduit dans l’os par le trochiter huméral et verrouillé avec deux vis proximales sur l’humérus. Elle a toutefois précisé que cette</w:t>
      </w:r>
    </w:p>
    <w:p>
      <w:r>
        <w:t>- 32 - diminution du galbe n’avait pas de répercussion clinique mise en évidence au niveau de la force et n’expliquait pas les douleurs, tout au plus une diminution de la force en abduction, qui ne figurait pas dans les rapports. S’agissant de la bursite sous-acromio-deltoïdienne, il faut relever qu’elle a été mise en évidence par le rapport du 25 février 2020 de la Dre P.________ et par le rapport relatif à une arthro-IRM du 22 janvier 2020. La Dre R.________ a expliqué qu’une bursite est une inflammation de la bourse sous-acromio-deltoïdienne située sous l’acromion et typiquement enflammée lorsqu’il existe un pincement de celle-ci entre la tête humérale et l’acromion, le plus souvent en raison d’un espace sous acromial étroit constitutionnel ou acquis ou en raison d’une variante anatomique de l’acromion ou de la glène. Elle a également expliqué que l’atteinte du sus-épineux apparue à l’arthro-IRM de décembre 2023 indiquait un phénomène d’impingement sous-acromial apparu en 2023. Elle en a conclu que les douleurs ressenties par le recourant à la fin de l’année 2023 n’étaient pas post traumatiques, mais qu’elles étaient dues à l’atteinte de la bourse sous-acromio-deltoïdienne et de la coiffe par impingement avec des variations anatomiques de l’acromion et de la glène représentée par la mesure pathologique de l’angle critique de l’épaule, facteur favorisant les ruptures non traumatiques de la coiffe. Elle a précisé être arrivée à cette conclusion pour plusieurs motifs. Elle a ainsi expliqué que la fracture traverse fortement déplacée, ouverte par choc direct en 2014, de l’humérus était située au tiers central du bras, soit à distance de l’épaule, et ne pouvait expliquer une atteinte traumatique directe ou indirecte de l’épaule lors de l’événement, atteinte qui aurait d’ailleurs contre-indiqué une ostéosynthèse par clou introduit à ce niveau. En effet, le clou centro-médullaire avait été introduit par l’articulation gléno-humérale supérieure et avait permis une réduction anatomique de la fracture de l’humérus qui avait parfaitement consolidé anatomiquement. Ainsi, cette ostéosynthèse ne pouvait pas expliquer une atteinte de l’articulation gléno-humérale, d’ailleurs non diagnostiquée en 2020 ou 2023, ni une atteinte du sus-épineux apparue neuf ans plus tard, pas plus qu’un impingement sous-acromial avec bursite sous-acromio- deltoïdienne. Ce dernier diagnostic était, selon elle, corroboré par le fait</w:t>
      </w:r>
    </w:p>
    <w:p>
      <w:r>
        <w:t>- 33 - que l’angle critique de l’épaule, qui ne pouvait pas avoir été modifié par la chirurgie, avait été mesuré à 39.23 degrés, ce qui était considéré comme normal, avec au-delà de 35 degrés un risque de présenter une rupture non traumatique de la coiffe. Elle a encore précisé qu’une bursite sous- acromio-deltoïdienne avait déjà été diagnostiquée à l’arthro-IRM du 22 janvier 2020, alors qu’il y avait un aspect encore préservé de la coiffe des rotateurs et du labrum, tout en montrant déjà des signes cliniques de tendinopathie de la coiffe. Enfin, la Dre R.________ a exposé qu’une lésion aigüe, qui serait survenue lors de l’accident ou lors de l’ostéosynthèse, aurait continué à évoluer plus ou moins rapidement en rupture transfixiante plus ou moins complète et aurait provoqué une diminution de volume et de trophicité des muscles de la coiffe, en tout cas du sus- épineux, qui aurait été visible sur une IRM, ce qui n’était pas le cas en 2020, ni en 2023. A l’aune de tout ce qui précède, l’appréciation médicale de la Dre R.________ doit être qualifiée de claire et dûment motivée, ses conclusions reposant sur une connaissance approfondie du dossier et une étude complète des pièces du dossier comprenant les examens d’IRM et de radiographie. Une pleine valeur probante peut lui être attribuée. cc) Le recourant conteste les conclusions de la Dre R.________ en se fondant sur les rapports des Drs V.________ et G.________ des 29 avril et 28 juin 2024. S’agissant du premier rapport, les diagnostics qui y sont retenus, à savoir notamment ceux de trouble postural avec enroulement antérieur des épaules, de dyskinésie scapulo-thoracique séquellaire et de tendinopathie non rompue de la coiffe des rotateurs, ont déjà été examinés par la Dre R.________ qui a expliqué pourquoi ils n’étaient pas en lien de causalité avec l’accident du 15 avril 2024. Dans leur second rapport, les Drs V.________ et G.________ ont indiqué qu’il était vraisemblable que le tableau douloureux chronique présent découle des conséquences de l’accident du 15 avril 2014, bien que la preuve de l’absence de tendinopathie antérieure ne puisse être apportée. Il faut toutefois constater que cet avis ne saurait prendre le pas sur celui de la Dre R.________. En effet, comme l’ont d’ailleurs eux-mêmes rappelé les</w:t>
      </w:r>
    </w:p>
    <w:p>
      <w:r>
        <w:t>- 34 - Drs V.________ et G.________ dans leur rapport, ils ne disposaient pas de formation en expertise médicale. Ils ont en outre indiqué qu’ils n’avaient pas de bilan clinique, ni d’imageries antérieurs à l’événement du 15 avril 2014 et qu’ils ne pouvaient pas se prononcer sur une péjoration de la condition du recourant sur la seule base de leur examen du 4 décembre 2023 et en l’absence d’examen comparatif. Finalement, comme l’a d’ailleurs relevé la Dre R.________, considérer une origine traumatique au motif qu’il n’y avait pas de preuve de la présence d’une tendinopathie avant l’accident constitue un raisonnement de type post hoc, ergo propter hoc qui ne saurait suffire à établir un lien de causalité au degré de la vraisemblance prépondérante. A cet égard, on notera ici qu’avant l’arthro- IRM du 4 décembre 2023, aucune lésion de la coiffe des rotateurs n’avait été mise en évidence. En effet, le Dr W.________ avait indiqué, dans ses appréciations des 17 février 2015 et 11 juillet 2017, que tous les tendons de la coiffe des rotateurs étaient fonctionnels. L’arthro-IRM du 2 juin 2016 mentionnait une intégrité des tendons des muscles de la coiffe des rotateurs, tout comme celle du 22 janvier 2020 qui concluait à un aspect encore préservé des tendons de la coiffe des rotateurs, confirmé par la Dre P.________ dans son rapport du 25 février 2020. S’agissant finalement du rapport du 2 avril 2025 du Prof. F.________ et du Dr I.________, il ne permet pas non plus de mettre en doute les conclusions de l’appréciation de la Dre R.________ du 16 octobre 2024. Outre le fait que les diagnostics posés sont les mêmes que ceux posés par les Drs V.________ et G.________ dans leur rapport du 29 avril 2024, le rapport du 2 avril 2025 mentionne que le recourant présente des omalgies gauches chroniques liées à une lésion partielle de la coiffe des rotateurs et aggravées par une probable dyskinésie scapulaire gauche avec une faiblesse du grand dentelé gauche, sans mentionner une quelconque origine traumatique à cette lésion, en lien avec l’accident du 15 avril 2014. c) Il découle de ce qui précède que l’intimée était fondée à retenir que les troubles de l’épaule gauche, déclarés lors de l’annonce de rechute du 22 novembre 2023, n’étaient pas en lien de causalité avec</w:t>
      </w:r>
    </w:p>
    <w:p>
      <w:r>
        <w:t>- 35 - l’événement accidentel du 15 avril 2014 et, ainsi, refuser leur prise en charge par décision sur opposition du 15 janvier 2025. 6. Le dossier est complet et permet à la Cour de céans de statuer en pleine connaissance de cause. Il n’y a dès lors pas lieu de compléter l’instruction par la mise en œuvre d’une expertise requise par le recourant. Une telle mesure ne serait pas de nature à modifier les considérations qui précèdent, les faits pertinents ayant pu être constatés à satisfaction de droit (appréciation anticipée de la pertinence des preuves : ATF 145 I 167 consid. 4.1 ; 140 I 285 consid. 6.3.1). La requête du recourant en ce sens doit ainsi être rejetée. 7. a) En conclusion, le recours, mal fondé, doit être rejeté et la décision sur opposition attaquée confirmée. b) Il n’y a pas lieu de percevoir de frais judiciaires (art. 61 let. fbis LPGA), ni d’allouer de dépens à la partie recourante, qui n’obtient pas gain de cause (art. 61 let. g LPGA). c) Le recourant est au bénéfice de l’assistance judiciaire et Me Longchamp peut prétendre à une équitable indemnité pour son mandat d’office. Après examen de la liste des opérations déposée le 16 mai 2025, compte tenu de l’importance et de la complexité du litige, il convient d’arrêter l’indemnité à 1'511 fr. 90, débours et TVA compris (art. 2, 3 al. 1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