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ZA25.002972 vom 10. November 2025</w:t>
      </w:r>
    </w:p>
    <w:p>
      <w:r>
        <w:t>VD Tribunal cantonal, 2025-11-10, FR</w:t>
      </w:r>
    </w:p>
    <w:p>
      <w:r>
        <w:rPr>
          <w:b/>
        </w:rPr>
        <w:t xml:space="preserve">Quelle: </w:t>
      </w:r>
      <w:r>
        <w:t>https://mcp.opencaselaw.ch/entscheid/vd_gerichte_ZA25.002972</w:t>
      </w:r>
    </w:p>
    <w:p>
      <w:r>
        <w:t>FR: VD_GERICHTE ZA25.002972 du 10 novembre 2025</w:t>
      </w:r>
    </w:p>
    <w:p>
      <w:r>
        <w:t>IT: VD_GERICHTE ZA25.002972 del 10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l’intimée était fondée à refuser de prendre en charge les suites de la rechute annoncée le 24 novembre 2023, faute de lien de causalité certain, ou du moins</w:t>
      </w:r>
    </w:p>
    <w:p>
      <w:r>
        <w:t>- 7 - vraisemblable, entre l’événement du 29 juin 2022 et les troubles de la cheville gauche du recourant.</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w:t>
      </w:r>
    </w:p>
    <w:p>
      <w:r>
        <w:t>- 8 -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3.2</w:t>
      </w:r>
    </w:p>
    <w:p>
      <w:r>
        <w:t>et la référence ; TF 8C_686/2024 du 4 avril 2025 consid. 3.1.1 ; TF 8C_404/2020 du 11 juin 2021 consid. 6.2.1).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w:t>
      </w:r>
    </w:p>
    <w:p>
      <w:r>
        <w:t>- 9 -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t>- 10 -</w:t>
      </w:r>
    </w:p>
    <w:p>
      <w:r>
        <w:rPr>
          <w:b/>
        </w:rPr>
        <w:t>E. 4</w:t>
      </w:r>
    </w:p>
    <w:p>
      <w:r>
        <w:t>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t>- 11 -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En l’espèce, il n’est pas contesté que le recourant a subi un accident le 29 juin 2022, ayant occasionné une entorse de la cheville gauche touchant le ligament latéral externe (cf. lettre de consultation du 16 août 2022 du Dr W.________) et dont les suites ont été prises en charge par l’intimée. L’atteinte a été traitée conservativement avec de la physiothérapie et le port d’une attelle pendant quatre semaines. Quatre mois plus tard, l’évolution était décrite comme bonne. Le patient ne ressentait plus de douleurs. La palpation du ligament latéral externe était non douloureuse. Aucun traitement n’a été prescrit hormis de la physiothérapie en cas de besoin (cf. lettre de consultation du 27 octobre 2022 du Dr W.________ et rapport d’IRM du 20 octobre 2022). Le recourant n’a jamais arrêté de travailler. Une année plus tard, soit le 2 novembre 2023, le recourant s’est retrouvé en incapacité totale de travail et a signalé les douleurs ressenties à sa cheville gauche comme une rechute de l’événement du 29 juin 2022 (cf. déclaration du 24 novembre 2023). Après avoir recueilli les éléments médicaux nécessaires, l’intimée a nié tout lien de causalité entre les troubles persistants à la cheville gauche du recourant et l’évènement accidentel du 29 juin 2022, en se fondant sur l’appréciation de la DreH.________.</w:t>
      </w:r>
    </w:p>
    <w:p>
      <w:r>
        <w:t>- 12 - Dans son avis du 11 juin 2024, la spécialiste précitée a procédé à une analyse des imageries figurant au dossier. L’IRM effectuée le 20 octobre 2022, soit moins de quatre mois après l’accident du 29 juin 2022, n’avait pas mis en évidence de signe de déchirure ligamentaire, en particulier du ligament tibio-fibulaire antérieur, mais avait seulement montré la présence d’un léger œdème sous-cutané de la partie proximale de la malléole externe avec une lésion intra-osseuse de la malléole externe à l’insertion du ligament talo-fibulaire postérieur. Quant à l’IRM réalisée le 20 décembre 2023, elle ne montrait aucune anomalie ligamentaire, notamment du ligament tibio-fibulaire antérieur qui était en continuité. Il persistait, sans modification depuis 2022, une lésion œdémateuse intra-osseuse de la malléole externe de l’insertion tibio- fibulaire postérieure. Selon la Dre H.________, même si l’IRM du 20 octobre 2022 avait montré un discret amincissement du ligament talo-fibulaire antérieur sans autre atteinte ligamentaire externe, cette évaluation restait subjective et surtout, aucun signe inflammatoire autour du ligament en question susceptible d’être une séquelle de déchirure complète n’avait été constaté. De plus, ce ligament était en continuité. En outre, les deux autres ligaments, le calcanéo-fibulaire et le tibio-fibulaire postérieur, étaient parfaitement visibles, sans signe de déchirure ancienne ou récente. Quant à l’infiltration œdémeuse sous-cutanée à la hauteur de la malléole uniquement, son origine ne pouvait être expliquée sans examen clinique détaillé correspondant. La Dre H.________ a ainsi conclu que l’évènement du 29 juin 2022 avait, tout au plus, provoqué une entorse bénigne de stade I, à savoir une distension, voire une déchirure très partielle, de l’un des trois ligaments externes, en l’occurrence du ligament tibio-fibulaire antérieur, expliquant le fait que le recourant n’avait pas consulté de médecin avant plusieurs semaines. Elle a encore souligné que ce type d’entorse guérissait après quatre à douze semaines et expliqué qu’une déchirure ligamentaire complète provoquait un gros œdème, un hématome, ce qui n’était pas le cas du recourant, et très souvent une impotence de plusieurs jours, voire semaines, incompatibles avec un travail debout ou nécessitant de marcher comme celui de [...]. Le recourant avait présenté une douleur localisée du ligament tibio-fibulaire antérieur compatible avec une distension, voire une déchirure partielle, de</w:t>
      </w:r>
    </w:p>
    <w:p>
      <w:r>
        <w:t>- 13 - ce ligament. La médecin-conseil a encore relevé que le caractère bénin de l’entorse était également attesté par le fait que l’arrêt de travail à 100% avait débuté le 2 novembre 2023, soit « plus de cinq mois » [recte : plus de seize mois] après l’entorse initiale qui, elle-même, n’avait pas nécessité d’arrêt de travail, ni de consultation immédiate. Par ailleurs, la deuxième IRM effectuée le 20 décembre 2023 montrait bien un status après entorse de stade 1 du ligament tibio-fibulaire antérieur. Ainsi, les douleurs cliniques justifiant l’arrêt de travail plusieurs mois après l’évènement du 29 juin 2022 n’étaient pas expliquées par des raisons post-traumatiques (entorse bénigne). En d’autres termes, les troubles invoqués au niveau de la cheville gauche du recourant, dans le cadre de la rechute annoncée, n’étaient, de l’avis de la Dre H.________, pas imputables, au degré de vraisemblance prépondérante, à l’évènement du 29 juin 2022. En l’occurrence, il convient tout d’abord de constater qu’aucun avis médical, ni aucun autre élément au dossier, ne vient contredire l’appréciation convaincante de la DreH.________, qui a, dans son rapport du 11 juin 2024, énuméré les pièces médicales sur lesquelles elle se fondait, analysé les imageries figurant au dossier du recourant, apprécié la situation de manière détaillée et motivé ses conclusions. Par ailleurs, les arguments avancés par le recourant ne permettent pas de remettre en cause cette appréciation. En effet, l’affirmation selon laquelle il n’aurait jamais connu de problèmes ou de douleurs à la cheville gauche avant l’évènement du 29 juin 2022 tient d’un raisonnement « post hoc, ergo propter hoc » (cf. consid. 3 b/aa supra) qui ne permet pas d’établir un lien de causalité naturelle au degré de vraisemblance prépondérante exigé en matière d’assurances sociales et ne saurait être admis comme moyen de preuve. Quant aux dires du recourant, selon lesquels il n’aurait pas cessé d’avoir mal depuis l’évènement du 29 juin 2022, ils apparaissent contradictoires avec les pièces figurant au dossier, en particulier le rapport du 27 octobre 2022 du Dr S.________, au terme duquel celui-ci indiquait que le patient ne ressentait plus de douleurs quatre mois après</w:t>
      </w:r>
    </w:p>
    <w:p>
      <w:r>
        <w:t>- 14 - l’évènement en question. Cela étant, cet élément n’est pas déterminant dans la mesure où il ne s’agit pas d’exiger de l’assureur-accidents la preuve négative qu’il ne subsiste plus aucune atteinte à la santé ou que la personne assurée est dorénavant en parfaite santé mais uniquement de savoir si les causes accidentelles d’une atteinte à la santé ne jouent plus de rôle et doivent ainsi être considérées comme ayant disparu (TF 8C_601/2017 du 27 mars 2018 consid. 4.2 et les références citées), ce que l’appréciation de la Dre H.________ démontre à satisfaction. A cela s’ajoute qu’il incombe à l’assuré d’établir, au degré de la vraisemblance prépondérante, l’existence d’un rapport de causalité naturelle entre la nouvelle atteinte et l’accident et que plus le temps écoulé entre l’accident et la manifestation de l’affection est long, plus les exigences quant à la preuve – au degré de la vraisemblance prépondérante – du rapport de causalité naturelle doivent être sévères, étant précisé que, faute de preuve, la décision sera défavorable à la personne assurée (cf. consid. 3c, 2ème paragraphe, supra). En l’espèce, compte tenu de la durée écoulée entre l’accident du 29 juin 2022 et la rechute annoncée en novembre 2023 (plus de seize mois), cette jurisprudence s’applique au cas du recourant. Or celui-ci n'a pas été en mesure d’établir ce lien au moyen de pièces médicales nouvelles. En conclusion, l’intimée était fondée à nier tout lien de causalité entre les troubles à la cheville gauche invoqués par le recourant dans le cadre de l’annonce de la rechute en novembre 2023 et l’accident du 29 juin 2022, en se fiant à l’avis probant de la Dre H.________. C’est donc à juste titre qu’elle a refusé de prester. On observera encore, à toutes fins utiles, que l’assureur- maladie du recourant a admis sa responsabilité en prenant en charge le cas du recourant dès le 1er novembre 2023.</w:t>
      </w:r>
    </w:p>
    <w:p>
      <w:r>
        <w:rPr>
          <w:b/>
        </w:rPr>
        <w:t>E. 6</w:t>
      </w:r>
    </w:p>
    <w:p>
      <w:r>
        <w:t>Compte tenu de ce qui précède, le recours, mal fondé, doit être rejeté et la décision sur opposition du 10 décembre 2024 confirmée.</w:t>
      </w:r>
    </w:p>
    <w:p>
      <w:r>
        <w:t>- 15 -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