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ZA24.051729 vom 12. März 2026</w:t>
      </w:r>
    </w:p>
    <w:p>
      <w:r>
        <w:t>VD Tribunal cantonal, 2026-03-12, FR</w:t>
      </w:r>
    </w:p>
    <w:p>
      <w:r>
        <w:rPr>
          <w:b/>
        </w:rPr>
        <w:t xml:space="preserve">Quelle: </w:t>
      </w:r>
      <w:r>
        <w:t>https://mcp.opencaselaw.ch/entscheid/vd_gerichte_ZA24.051729</w:t>
      </w:r>
    </w:p>
    <w:p>
      <w:r>
        <w:t>FR: VD_GERICHTE ZA24.051729 du 12 mars 2026</w:t>
      </w:r>
    </w:p>
    <w:p>
      <w:r>
        <w:t>IT: VD_GERICHTE ZA24.051729 del 12 marzo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auprès du tribunal compétent (art. 93 let. a LPA-VD [loi cantonale vaudoise du 28 octobre 2008 sur la procédure administrative ; BLV 173.36]), si bien qu’il est recevable ratione materiae et respecte les autres conditions formelles prévues par la loi (art. 61 let. b LPGA notamment). Il apparaît, en outre, selon le suivi des envois, que la décision sur opposition litigieuse a été notifiée à la recourante le 19 octobre 2024 et que son recours a été remis à la Poste suisse le 17 novembre 2024, si bien que le délai de 30 jours a été respecté. Le recours est donc également recevable ratione temporis. Enfin, compte tenu du dernier lieu de travail de la recourante, qui se situe en Suisse, à S***, la recevabilité du recours est aussi acquise ratione loci.</w:t>
      </w:r>
    </w:p>
    <w:p>
      <w:r>
        <w:rPr>
          <w:b/>
        </w:rPr>
        <w:t>E. 2</w:t>
      </w:r>
    </w:p>
    <w:p>
      <w:r>
        <w:t>Le litige a pour objet le point de savoir si la recourante peut prétendre, en lien avec les accidents survenus les 22 juin 2022 et 26 janvier 2024, à des prestations de l’assurance-accidents au-delà du 26 avril 2024. 10J010</w:t>
      </w:r>
    </w:p>
    <w:p>
      <w:r>
        <w:t>- 9 -</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402 consid. 4.3.1). Le seul fait que des symptômes douloureux ne se sont manifestés qu’après la survenance d’un accident ne suffit pas à établir un 10J010</w:t>
      </w:r>
    </w:p>
    <w:p>
      <w:r>
        <w:t>- 10 -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3.2</w:t>
      </w:r>
    </w:p>
    <w:p>
      <w:r>
        <w:t>et la référence ; TF 8C_686/2024 du 4 avril 2025 consid. 3.1.1).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10J010</w:t>
      </w:r>
    </w:p>
    <w:p>
      <w:r>
        <w:t>- 11 - e) Dans le contexte de la suppression du droit à des prestations, la règle selon laquelle le fardeau de la preuve incombe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117 V 265 consid. 3b et les références citées ; TF 8C_383/2018 du 10 décembre 2018 consid. 3.2 ; voir également ATF 139 V 176 consid. 5.2).</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10J010</w:t>
      </w:r>
    </w:p>
    <w:p>
      <w:r>
        <w:t>- 12 -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rPr>
          <w:b/>
        </w:rPr>
        <w:t>E. 5</w:t>
      </w:r>
    </w:p>
    <w:p>
      <w:r>
        <w:t>a) En l’espèce, l’intimée ne remet pas en cause, à juste titre, le caractère accidentel des événements des 22 juin 2022 et 26 janvier 2024, puisqu’elle a pris en charge les suites de ces accidents. Se fondant sur les appréciations du Dr O.________, l’intimée a toutefois mis un terme à son intervention au titre de l’assurance-accidents 10J010</w:t>
      </w:r>
    </w:p>
    <w:p>
      <w:r>
        <w:t>- 13 - au 26 avril 2024, au motif que les troubles persistants au niveau lombaire et cervical, au-delà de cette date, résultaient d’atteintes dégénératives indépendantes des accidents de la voie publique des 22 juin 2022 et 26 janvier 2024. b/aa) Dans son appréciation du 22 août 2024, le Dr O.________ a exposé, en se fondant notamment sur les IRM réalisées les 22 février 2024 (colonne cervicale) et 7 mars 2024 (rachis), les raisons pour lesquelles il fallait considérer que l’accident du 26 janvier 2024, qui avait causé une contusion cervicale, ainsi qu’une contusion lombaire, avait fini de déployer ses effets délétères après trois mois au maximum. Il a ainsi observé que les imageries évoquées ci-avant n’avaient pas mis en évidence de lésions objectivables permettant d’établir l’existence probable d’une atteinte traumatique. Les constatations déduites de l’IRM de la colonne cervicale avait fait ressortir des éléments qui plaidaient bien plutôt dans le sens de la présence d’atteintes maladives, en particulier sous la forme d’une discopathie dégénérative C5-C6, sans évidence pour un conflit discoradiculaire. En outre, les examens radiologiques permettaient d’exclure une origine traumatique aux diagnostics de lombosciatalgies et de névralgies cervicobrachiales posés pour la première fois par le Dr G.________ en mai 2024 (cf. rapport du 7 mai 2024). Un potentiel diagnostic d’entorse cervicale par « coup du lapin » devait par ailleurs être écarté selon le médecin-conseil. En effet, si l’action vulnérante du choc avait certes été susceptible de pouvoir générer un traumatisme en flexion et hyperextension de la colonne cervicale, il n’était pas apparu de tableau clinique caractéristique d’un whisplash. A cet égard, aucun des médecins consultés par la recourante n’avait fait état de symptômes tels que des vertiges, des maux de tête diffus, des troubles de la concentration ou de la mémoire, une fatigabilité accrue ou encore une dépression. 10J010</w:t>
      </w:r>
    </w:p>
    <w:p>
      <w:r>
        <w:t>- 14 - Aussi, pour le Dr O.________, seules des contusions lombaire et cervicale pouvaient être retenues à titre de conséquences de l’événement du 26 janvier 2024. Ces atteintes s’inscrivant dans un status antérieur de type dégénératif, le statu quo sine devait être arrêté au 26 avril 2024, soit trois mois après l’événement. bb) Quant à l’accident du 22 juin 2022, le Dr O.________ a constaté que les pièces médicales faisaient état d’un tableau identique, à savoir des cervicalgies et des nevralgies, associées à des lombalgies. L’examen clinique rapportait une raideur cervicale associée à des contractures paracervicales et scapulaires, aucun bilan paraclinique n’ayant été réalisé pour le surplus. Dans le complément apporté le 16 janvier 2025, le Dr O.________ a précisé que la radiographie du rachis lombaire effectuée le 30 août 2022 ne révélait pas de fracture mais la présence de troubles dégénératifs à type de discopathie L5-S1 et d’ostéophytes au niveau du plateau supérieur de L3 signalant une pathologie dégénérative. Dès lors, une contusion du rachis cervical et lombaire pouvait tout au plus être retenue dans un contexte de status antérieur dégénératif à type de discopathie. Cette atteinte cessait de déployer ses effets trois mois au plus tard après l’accident. c) En l’occurrence, aucun avis médical, ni aucun autre élément au dossier, ne permet de remettre valablement en cause l’appréciation convaincante du Dr O.________, qui a tenu compte des pièces médicales antérieures et qui s’est fondé sur les imageries à disposition. aa) En particulier, le Dr I.________, neurologue qui avait été consulté par la recourante, est parvenu à des conclusions similaires dans son rapport du 4 avril 2024. Il n’a ainsi pas visualisé, dans les imageries réalisées en février et mars 2024, de lésions traumatiques, mais exclusivement des atteintes dégénératives, à savoir en particulier des discarthroses et arthropathies étagées aux niveaux C4-C5 et C5-C6, ainsi qu’au niveau lombaire, un discret spondylolisthésis de grade I au niveau L4- L5, ainsi qu’un étalement discal C5-C6 susceptible d’irriter la racine C6. L’IRM cervicale mettait en outre en évidence un important déconditionnement musculaire. 10J010</w:t>
      </w:r>
    </w:p>
    <w:p>
      <w:r>
        <w:t>- 15 - bb) Quant au rapport établi le 10 décembre 2024 par le Dr P.________, produit par la recourante au stade de la réplique, il se limite pour l’essentiel à faire état de la persistance d’une symptomatologie douloureuse, se localisant tant au niveau de la région lombaire gauche qu’au niveau cervical, irradiant vers les trapèzes et la région pectorale. Comme l’a observé le Dr O.________ dans son appréciation complémentaire du 16 janvier 2025, le rapport du Dr P.________ ne mentionne aucun diagnostic traumatique. En effet, seuls les diagnostics – repris des Dr G.________ et M.________ – de névralgie cervicobrachiale droite sur discopathie C5-C6 et de lombosciatalgie droite sont retenus. Or le Dr O.________ a précisément écarté toute origine traumatique à ces deux diagnostics, compte tenu des imageries figurant au dossier. Le rapport du Dr P.________ n’apporte donc aucun élément médical nouveau, qui aurait été ignoré du Dr O.________ ou dont il n’aurait pas tenu compte. Par ailleurs, le rapport du Dr P.________ ne comporte aucune analyse du lien de causalité, ce médecin se limitant à considérer un tel lien comme d’emblée acquis. L’approche adoptée par le Dr P.________ repose sur le seul fait que les plaintes et pathologies sont apparues après l’accident du 26 janvier 2024, ce qui relève d’un raisonnement de type « post hoc ergo propter hoc » (cf. consid. 3b supra). Semblable assertion permet uniquement de considérer l’existence d’un rapport de cause à effet comme une hypothèse possible, ce qui n’est pas suffisant. En effet, le seul fait que des symptômes douloureux ne se soient manifestés qu’après la survenance d’un accident ne suffit pas à établir un rapport de causalité naturelle avec cet accident. C’est le lieu de relever également que l’affirmation de la recourante, selon laquelle elle n’avait jamais présenté des symptômes aussi handicapants avant les accidents, ne permet pas d’examiner la situation sous un autre angle. cc) En outre, l’argument de la recourante, selon lequel elle aurait présenté des symptômes typiques d’un « coup du lapin » à la suite de l’accident du 26 janvier 2024, lesquels auraient nécessité la prise d’un anxiolytique dès le 8 février 2024, ainsi que d’un antidépresseur dès le 10 avril 2024 (cf. déterminations du 19 février 2025), ne peut être retenu, au 10J010</w:t>
      </w:r>
    </w:p>
    <w:p>
      <w:r>
        <w:t>- 16 - stade de la vaisemblance prépondérante. En effet, seules des céphalées ont été mentionnées par le Dr G.________ à la suite de l’accident en question (cf. rapport du 15 mars 2024), ce qu’a du reste relevé le Dr O.________. Par ailleurs, on ignore pour quelles raisons les traitements anxiolytique et antidépresseur ont été prescrits, les ordonnances ne fournissant aucune indication à ce sujet. Or, on ne peut exclure, en l’état, que la recourante ait nécessité ces traitements dans le contexte familial difficile, lié notamment à l’état de santé de son père, lequel est décédé en juillet 2024, qu’elle a relaté dans son mémoire de recours. A cet égard, on relèvera encore que les troubles du sommeil et la diminution thymique avec anxiété, fatigabilité morale et intellectuelle évoqués par le Dr G.________ dans son rapport du 28 août 2024 étaient en lien, selon ce médecin, avec les douleurs chroniques et l’incapacité persistante de l’assurée. Il ne ressort ainsi pas de ce rapport qu’elles découleraient d’une lésion causée par l’accident, en particulier d’une éventuelle entorse cervicale, mais bien qu’elles résultent de la situation de la recourante et des difficultés qu’elle rencontre. dd) On ne peut en outre pas reprocher au Dr O.________ de ne pas s’être prononcé sur les limitations fonctionnelles. En effet, le médecin- conseil n’a pas nié leur existence, tout comme il n’a pas nié que la recourante souffrait d’une discopathie C5-C6 et de lésions arthrosiques lombaires. Il a toutefois souligné que ces diagnostics avaient une origine purement dégénérative. Par conséquent, ils ne relevaient pas de l’assurance-accident, ce qui dispensait de tout examen des limitations fonctionnelles en découlant. d) En définitive, l’intimée était fondée à nier tout lien de causalité naturelle entre, d’une part, les accidents des 22 juin 2022 et 26 janvier 2024 et, d’autre part, les troubles présentés par la recourante après le 26 avril 2024, en se fondant sur l’avis probant du Dr O.________. C’est donc à juste titre qu’elle a mis un terme aux prestations versée au titre de l’assurance-accidents au 26 avril 2024.</w:t>
      </w:r>
    </w:p>
    <w:p>
      <w:r>
        <w:rPr>
          <w:b/>
        </w:rPr>
        <w:t>E. 6</w:t>
      </w:r>
    </w:p>
    <w:p>
      <w:r>
        <w:t>a) Il s’ensuit que le recours, mal fondé, doit être rejeté. 10J010</w:t>
      </w:r>
    </w:p>
    <w:p>
      <w:r>
        <w:t>- 17 - b) Il n’y a pas lieu de percevoir de frais judiciaires (art. 61 let. fbis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