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ZA24.045865 vom 6. März 2025</w:t>
      </w:r>
    </w:p>
    <w:p>
      <w:r>
        <w:t>VD Tribunal cantonal, 2025-03-06, FR</w:t>
      </w:r>
    </w:p>
    <w:p>
      <w:r>
        <w:rPr>
          <w:b/>
        </w:rPr>
        <w:t xml:space="preserve">Quelle: </w:t>
      </w:r>
      <w:r>
        <w:t>https://mcp.opencaselaw.ch/entscheid/vd_gerichte_ZA24.045865</w:t>
      </w:r>
    </w:p>
    <w:p>
      <w:r>
        <w:t>FR: VD_GERICHTE ZA24.045865 du 6 mars 2025</w:t>
      </w:r>
    </w:p>
    <w:p>
      <w:r>
        <w:t>IT: VD_GERICHTE ZA24.045865 del 6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- 5 -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la question de savoir si le recourant peut prétendre, en lien avec l’accident survenu le 17 juillet 2023, à des prestations de l’assurance-accidents (traitement médical et indemnités journalières) au-delà du 21 mars 2024.</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w:t>
      </w:r>
    </w:p>
    <w:p>
      <w:r>
        <w:t>- 6 -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w:t>
      </w:r>
    </w:p>
    <w:p>
      <w:r>
        <w:rPr>
          <w:b/>
        </w:rPr>
        <w:t>E. 3.2</w:t>
      </w:r>
    </w:p>
    <w:p>
      <w:r>
        <w:t>et la référence citée ; TF 8C_404/2020 du 11 juin 2021 consid. 6.2.1).</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l’intimée ne conteste pas que le recourant a subi un évènement traumatique le 17 juillet 2023 à l’origine d’une entorse de la cheville droite.</w:t>
      </w:r>
    </w:p>
    <w:p>
      <w:r>
        <w:t>- 7 - b) Cela étant, il n’est pas possible de rattacher, au degré de la vraisemblance prépondérante, les atteintes subsistant au mois de mars 2024 à l’accident litigieux. aa) Dans son appréciation du 2 septembre 2024, le médecin d’arrondissement a exposé de manière convaincante, en se fondant sur les radiographies réalisées le jour de l’accident, que l’évènement traumatique litigieux avait fini de déployer ses effets après trois mois au maximum ; ainsi a-t-il observé l’absence de fracture ou de lésion des ligaments mais la présence d’un remaniement osseux avec ostéophytes au niveau du talus et du tibial antérieur – responsables d’un impingement antérieur ancien –, d’une enthésopathie au niveau du fascia plantaire et d’ostéophytes distaux de la malléole externe et interne en relation avec probablement d’anciennes entorses, dans le sens d’une arthrose. Le médecin d’arrondissement en a conclu que la pathologique résiduelle devait être mise en corrélation avec un état préexistant sous forme d’exostoses aussi bien au niveau du talus que du tibia antérieur, lesquelles rétrécissaient l’espace intra-articulaire et expliquaient la douleur et l’enraidissement de la cheville droite. L’accident vasculaire cérébral n’avait quant à lui aucun lien avec l’accident litigieux. bb) L’appréciation du médecin d’arrondissement n’est pas sérieusement remise en cause par la documentation médicale au dossier. Ainsi, le rapport du 23 avril 2024 de la Dre K.________, mentionnant que le recourant souffre d’un « impingement post traumatique de la cheville droite et d’une instabilité résiduelle dûe à une entorse du 17.07.2023 » (sic) ne saurait suffire à contredire l’appréciation du Dr Q.________. A cet égard, il convient de rappeler que, selon la jurisprudence, l'utilisation du terme « post-traumatique » n'est pas forcément synonyme d'une atteinte en rapport de causalité avec un traumatisme et que cette expression est aussi souvent utilisée pour décrire une chronologie d'événements, c'est-à- dire qu'une atteinte est survenue après un traumatisme (TF 8C_108/2020 du 22 décembre 2020 consid. 4.4.5 et les références citées). Or, en l’absence d’éléments objectifs susceptibles de rendre à tout le moins</w:t>
      </w:r>
    </w:p>
    <w:p>
      <w:r>
        <w:t>- 8 - vraisemblable un quelconque lien entre l’accident litigieux et les affections du recourant, il ne saurait être accordé une importance accrue aux expressions utilisées par la Dre K.________, ce d’autant plus que le raisonnement de cette médecin s’apparente à une argumentation post hoc ergo propter hoc, à elle seule insuffisante pour établir un lien de causalité naturelle (ATF 119 V 335 consid. 2b/bb ; TF 8C_140/2021 du 3 août 2021 consid. 3.5). Pour le reste, et quoi qu’en dise le recourant, le fait que le Prof. L.________ et le Dr R.________, dans leur rapport du 25 janvier 2024, ont constaté l’absence d’arthrose, sur la base des mêmes documents d’imagerie que le médecin d’arrondissement, ne justifie pas en soi un complément d’instruction, ces médecins ne retenant aucun diagnostic clair susceptible d’être à l’origine des plaintes du recourant. c) En définitive, l’intimée n’a pas violé le droit fédéral en mettant un terme aux prestations versées au titre de l’assurance- accidents au 21 mars 2024.</w:t>
      </w:r>
    </w:p>
    <w:p>
      <w:r>
        <w:rPr>
          <w:b/>
        </w:rPr>
        <w:t>E. 6</w:t>
      </w:r>
    </w:p>
    <w:p>
      <w:r>
        <w:t>a) Sur le vu de ce qui précède, le recours, mal fondé, doit être rejeté. b) Il n’y a pas lieu de percevoir de frais judiciaires (art. 61 let. fbis LPGA), ni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