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ZA24.045649 vom 24. November 2025</w:t>
      </w:r>
    </w:p>
    <w:p>
      <w:r>
        <w:t>VD Tribunal cantonal, 2025-11-24, FR</w:t>
      </w:r>
    </w:p>
    <w:p>
      <w:r>
        <w:rPr>
          <w:b/>
        </w:rPr>
        <w:t xml:space="preserve">Quelle: </w:t>
      </w:r>
      <w:r>
        <w:t>https://mcp.opencaselaw.ch/entscheid/vd_gerichte_ZA24.045649</w:t>
      </w:r>
    </w:p>
    <w:p>
      <w:r>
        <w:t>FR: VD_GERICHTE ZA24.045649 du 24 novembre 2025</w:t>
      </w:r>
    </w:p>
    <w:p>
      <w:r>
        <w:t>IT: VD_GERICHTE ZA24.045649 del 24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en sa qualité d’assureur-maladie susceptible de devoir prendre en charge les frais litigieux, la recourante est touchée par la décision sur opposition et a un intérêt digne d’être protégé à ce qu’elle soit annulée ou modifiée, si bien qu’elle dispose de la qualité pour recourir (art. 49 al. 4 et 59 LPGA). En outre,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w:t>
      </w:r>
    </w:p>
    <w:p>
      <w:r>
        <w:rPr>
          <w:b/>
        </w:rPr>
        <w:t>E. 2</w:t>
      </w:r>
    </w:p>
    <w:p>
      <w:r>
        <w:t>Le litige porte sur le point de savoir si l’événement du 26 octobre 2023 constitue un accident et si l'assurée a droit à des prestations de l’assurance-accidents en relation avec celui-ci.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b) Le facteur extérieur est la caractéristique centrale de tout événement accidentel ; il est le pendant de la cause interne – constitutive de la notion de maladie (ATF 150 V 229 consid. 4.1.1 ; 134 V 72 consid. 4.1.1). Selon la jurisprudence, le facteur extérieur est considéré comme extraordinaire lorsqu’il excède, dans le cas particulier, le cadre des événements et des situations que l’on peut, objectivement, qualifier de quotidiens ou d’habituels pour le domaine de vie concerné (ATF 150 V 229 consid. 4.1.1 ; 134 V 72 consid. 4.1). Selon la définition de l’accident, le caractère extraordinaire de l’atteinte ne concerne pas les effets du facteur extérieur, mais seulement ce facteur lui-même. Le fait que le facteur extérieur ait éventuellement entraîné des conséquences graves ou inattendues est donc sans importance pour l’examen du caractère extraordinaire. Ce qui est déterminant, c’est que le facteur extérieur se distingue de la norme des effets de l’environnement sur le corps humain (ATF 150 V 229 consid. 4.1.1 ; 142 V 219 consid. 4.3.1 ; 134 V 72 consid. 4.3.1).</w:t>
      </w:r>
    </w:p>
    <w:p>
      <w:r>
        <w:t>- 8 - c) Un traumatisme psychique sans atteinte significative à la santé physique constitue un accident lorsqu’il est le résultat d’un choc émotionnel provoqué par un événement d’une grande violence (Erschreckungereignis), survenu en présence de la personne assurée. Seuls des événements extraordinaires propres à susciter l’effroi et entraînant un choc psychique lui-même extraordinaire réalisent la condition du caractère extraordinaire de l’atteinte et, partant, sont constitutifs d’un accident (ATF 129 V 402 consid. 2.1 ; 129 V 177 consid.</w:t>
      </w:r>
    </w:p>
    <w:p>
      <w:r>
        <w:rPr>
          <w:b/>
        </w:rPr>
        <w:t>E. 2.1</w:t>
      </w:r>
    </w:p>
    <w:p>
      <w:r>
        <w:t>; TF 8C_461/2023 du 8 février 2024 consid. 5.3.1). Selon la jurisprudence, un viol répond à la définition d’un accident, en tant qu’il constitue un événement extérieur extraordinaire causant un choc psychique (ATF 150 V 229 consid. 4.4.3). Il remplit également la condition de la soudaineté, pour autant que la victime ait conscience de l’événement traumatisant au moment où elle l’a vécu (cf. a contrario TF 8C_548/2023 du 21 février 2024 dans lequel le Tribunal fédéral n’a pas retenu d’accident dans le cas d’une femme qui avait subi des rapports sexuels contre sa volonté alors qu’elle était inconsciente, faute de confrontation directe de l’assurée avec l’événement propre à susciter l’effroi, la condition de la soudaineté faisant ainsi défaut). d) Une atteinte à la santé causée par une infection est en principe une maladie (ATF 150 V 229 consid. 4.1.2 ; 122 V 230 consid. 3). Selon la jurisprudence, l’hypothèse d’une origine accidentelle (ou traumatique) de l’infection présuppose la présence d’une plaie au moment de l’infection alléguée. Il ne suffit pas que les agents pathogènes aient pu s’infiltrer à l’intérieur du corps humain par de petites écorchures, éraflures ou excoriations banales et sans importance comme il s’en produit ; la pénétration doit s’être faite par une lésion déterminée ou tout au moins dans des circonstances telles qu’elles représentent un fait typiquement « accidentel » et reconnaissable comme tel (ATF 150 V 229 consid. 4.1.2 ; 122 V 230 consid. 3a). En revanche, si des agents pathogènes pénètrent à l’intérieur du corps d’une manière typique de la maladie en question, l’infection est considérée comme une maladie (ATF 150 V 229 consid. 4.1.2 et la référence citée). Il faut par exemple admettre qu’il y a accident</w:t>
      </w:r>
    </w:p>
    <w:p>
      <w:r>
        <w:t>- 9 - en cas de morsure de tique ayant entraîné une borréliose (ATF 150 V 229 consid. 4.1.2 ; 122 V 230 consid. 5a). Dans le cadre d’une infection par le VIH, la jurisprudence a, jusqu’à présent, admis qu’il y avait accident lorsque l’infection avait été provoquée par la manipulation d’une seringue contaminée (cf. ATF 140 V 356 ; 129 V 402 consid. 4.2). Selon la jurisprudence, la contamination par le VIH ensuite d’un rapport sexuel non protégé, donc de manière typique, ne constitue pas un accident au sens juridique du terme, en l’absence du caractère extraordinaire du facteur extérieur. Le fait que le partenaire de l’assurée ait caché sa séropositivité pendant des années et qu’il ait été condamné pénalement pour lésions corporelles graves pour l’avoir contaminée n’y change rien (ATF 150 V 229 consid. 2 à 5). Par ailleurs, cet état de fait se distingue d’un viol. Selon le Tribunal fédéral, il est vrai que dans ce cas, une éventuelle infection par le VIH se produit également lors d’un rapport sexuel. Mais dans le cas d’un viol, il s’agit d’un accident au sens juridique du terme, sous la forme d’un événement extraordinaire et d’un choc psychique (ATF 150 V 229 consid. 4.4.3).</w:t>
      </w:r>
    </w:p>
    <w:p>
      <w:r>
        <w:rPr>
          <w:b/>
        </w:rPr>
        <w:t>E. 3</w:t>
      </w:r>
    </w:p>
    <w:p>
      <w:r>
        <w:t>a) Le stealthing est une pratique qui consiste à retirer furtivement le préservatif ou à omettre sciemment d’en porter un à l’occasion de rapports sexuels consentis, à l’insu de la ou du partenaire, alors que la victime tenait à cette condition et que l’auteur était (du moins en apparence) d’accord (Rapport de la Commission des affaires juridiques du Conseil des États du 17 février 2022, Harmonisation des peines et adaptation du droit pénal accessoire au nouveau droit des sanctions, Projet 3 : loi fédérale portant révision du droit pénal en matière sexuelle [ci-après : Rapport CAJ-E du 17 février 2022] ; cf. ATF 148 IV 329). b) Avant l’entrée en vigueur, le 1er juillet 2024, de la révision du droit pénal en matière sexuelle, le Tribunal fédéral avait jugé que la pratique du stealthing ne constituait pas un acte d’ordre sexuel commis sur une personne incapable de discernement ou de résistance (art. 191 CP), dans la mesure où la capacité de défense de la victime restait intacte (ATF 148 IV 329 consid. 5.5). En revanche, il avait souligné que l’art. 191</w:t>
      </w:r>
    </w:p>
    <w:p>
      <w:r>
        <w:t>- 10 - CP protégeait l'intégrité et l'autodétermination en matière sexuelle (ATF 148 IV 329 consid. 4.1). La condition essentielle en vertu de laquelle une personne consentait à un rapport sexuel était pertinente dans la mesure où elle se rapportait à des caractéristiques essentielles du rapport sexuel lui-même, ce qui était le cas de l'utilisation d'un préservatif (ATF 148 IV 329 consid. 4.2). Dans ce cadre, il a rappelé que la recherche empirique et la littérature en sciences sociales estimaient, majoritairement, que l’utilisation ou la non-utilisation d’un préservatif était à l’origine d’une différence considérable dans l’intensité du contact sexuel, notamment parce que pour la personne concernée, cela ne revenait souvent pas au même d’être ou non en contact physique avec le sperme. Le préservatif apparaissait comme une limite importante à une intimité ressentie sinon comme trop grande (ATF 148 IV 329 consid. 4.2 et les références citées). Lorsque le préservatif était retiré furtivement, le rapport sexuel auparavant consenti se transformait en un autre acte sexuel distinct, non consenti, qui lésait le bien juridique protégé par l'art. 191 CP. En d’autres termes, le Tribunal fédéral a retenu que le stealthing portait atteinte à l’autonomie et l’intégrité sexuelles et individuelles et que la poursuite du rapport sexuel après le retrait du préservatif n’était plus consentie (ATF 148 IV 329 consid. 4.2 et 4.3). Se référant notamment aux travaux parlementaires, il a en outre laissé entendre que, sous l’empire du nouveau droit, un tel comportement constituerait un viol au sens de l’art. 190 nCP ou une atteinte et contrainte sexuelles au sens de l’art. 189 nCP (ATF 148 IV 329 consid. 5.4.2). c) Le 16 juin 2023, le Parlement fédéral a adopté la loi fédérale portant révision du droit pénal en matière sexuelle, entrée en vigueur le 1er juillet 2024. Selon le Rapport CAJ-E du 17 février 2022 (pp. 13, 31 ss), la Commission a estimé qu’il n’était pas nécessaire de prévoir une disposition visant à sanctionner expressément le stealthing, cette pratique étant constitutive d’un viol au sens du nouveau droit. En effet, le consentement donné à des rapports sexuels avec préservatif ne s’étend pas aux mêmes actes sans préservatif. On se trouve donc face à un comportement punissable couvert par l’élément constitutif « contre la volonté » (Rapport CAJ-E du 17 février 2022, p. 33).</w:t>
      </w:r>
    </w:p>
    <w:p>
      <w:r>
        <w:t>- 11 - Par ailleurs, craignant que les tribunaux ne punissent pas le stealthing, le canton de Genève a déposé, le 20 novembre 2023, une initiative parlementaire visant à sanctionner expressément la pratique du stealthing. Dans son rapport du 29 octobre 2024, la Commission des affaires juridiques du Conseil des États a proposé de ne pas donner suite à l’initiative, réitérant que cette pratique était couverte par le nouveau droit et constituait un viol au sens de l’art. 190 CP (voire une atteinte et contrainte sexuelles au sens de l’art. 189 CP). d) Au vu de ce qui précède, dans une conception moderne et actuelle du droit à l’autodétermination et à la liberté sexuelles, le législateur a estimé que la pratique du stealthing portait atteinte à l’intégrité sexuelle et constituait un viol, à savoir un crime passible d’une peine privative de liberté de cinq ans au plus.</w:t>
      </w:r>
    </w:p>
    <w:p>
      <w:r>
        <w:rPr>
          <w:b/>
        </w:rPr>
        <w:t>E. 3.2</w:t>
      </w:r>
    </w:p>
    <w:p>
      <w:r>
        <w:t>et la référence citée ; TF 8C_686/2024 du 4 avril 2025 consid. 3.1.1 ; TF 8C_404/2020 du 11 juin 2021 consid. 6.2.1).</w:t>
      </w:r>
    </w:p>
    <w:p>
      <w:r>
        <w:t>- 17 - c) Comme déjà rappelé, conformément au principe général de l'obligation de diminuer le dommage valable en droit des assurances sociales, ancré notamment à l'art. 21 al. 4 LPGA, l'assuré doit mettre en œuvre tout ce qu'on peut raisonnablement attendre de lui pour atténuer les conséquences de son accident (ATF 134 V 109 consid. 10.2.7 ; 129 V 460 consid. 4.2 ; TF 8C_271/2024 du 11 octobre 2024 consid. 6.2). d) En l'occurrence, est litigieuse la prise en charge des consultations médicales, des tests sérologiques et du traitement préventif anti-VIH. S'agissant des consultations médicales initiales et des tests sérologiques, elles étaient nécessaires à des fins diagnostiques et relevaient, en présence d'un accident (cf. supra consid. 4), de la responsabilité de l'assurance-accidents, en vertu de son devoir d'instruire (art. 43 al. 1 LPGA). Quant au traitement préventif anti-VIH et aux autres consultations en découlant, ils doivent également être pris en charge par l'assureur-accidents. En effet, quelle que soit l'atteinte – psychique (Erschreckungereignis ; cf. supra consid. 4b) ou physique (exposition à un risque d'infection ; cf. supra consid. 4d) – que l'on retient pour qualifier l'événement du 26 octobre 2023 d'accident, l'assureur-accidents est tenu de prendre en charge l'ensemble des conséquences médicales en lien de causalité avec celui-ci. Or, l'événement du 26 octobre 2023 a provoqué l'éventuelle contamination de l'assurée et donc la nécessité du traitement préventif et du suivi en découlant si bien que ces éléments se trouvent en lien de causalité naturelle et adéquate avec celui-ci. En outre, comme déjà relevé, la prise de ce traitement et le suivi qu'il a nécessité découlaient de l'obligation de diminuer le dommage incombant à l'assurée. A ce titre, quand bien même il s'agit d'un traitement préventif, il doit être pris en charge par l'intimée. e) Eu égard à ce qui précède, l'intimée devait prendre en charge les frais médicaux en lien avec les consultations initiales, les tests</w:t>
      </w:r>
    </w:p>
    <w:p>
      <w:r>
        <w:t>- 18 - sérologiques, le traitement préventif anti-VIH et les consultations en découlant.</w:t>
      </w:r>
    </w:p>
    <w:p>
      <w:r>
        <w:rPr>
          <w:b/>
        </w:rPr>
        <w:t>E. 4</w:t>
      </w:r>
    </w:p>
    <w:p>
      <w:r>
        <w:t>a) En l'espèce, il n'est pas contesté par les parties que l'assurée a été victime d'un stealthing le 26 octobre 2023. L'intimée estime toutefois, d'une part, que l'assurée n'a subi aucune atteinte physique en l'absence d'une infection et, d'autre part, que cette pratique ne constitue pas un événement terrifiant exceptionnel propre à provoquer un choc émotionnel. En l'absence de toute atteinte dommageable, l'une des conditions nécessaires pour retenir l'existence d'un accident ferait défaut. b) Il convient d'examiner si les événements du 26 octobre 2023 répondent à la définition de l'accident. Quand bien même la qualification pénale des événements n'est pas déterminante du point de vue de l'examen de la notion d'accident (cf. ATF 150 V 229 consid. 4.4.2), il est important de souligner que le stealthing est constitutif d'un viol (crime passible d'une peine privative de liberté de cinq ans au plus), à savoir de l'infraction la plus grave en matière d'atteinte à l'intégrité sexuelle. Si le législateur a estimé</w:t>
      </w:r>
    </w:p>
    <w:p>
      <w:r>
        <w:t>- 12 - qu'il fallait dorénavant punir ce comportement et de manière aussi sévère, c'est bien parce qu'il constitue un événement violent portant une atteinte grave à l'intégrité sexuelle et, par conséquent, qu'il est propre à causer un traumatisme psychique extraordinaire. C'est le lieu de rappeler que le Tribunal fédéral a, de jurisprudence constante, retenu que le viol constitue un événement terrifiant causant un traumatisme psychique extraordinaire et répondant à la définition de l'accident. En l'espèce, l'assurée a clairement signifié à l'homme qu'elle entendait entretenir des relations sexuelles uniquement à la condition qu'elles soient protégées (l'ayant même envoyé acheter des préservatifs). Lors du deuxième rapport sexuel, elle s'est aperçue, après plus de dix minutes, que l'homme avait retiré le préservatif. Dès que l'homme a retiré son préservatif, la relation sexuelle n'était plus consentie et portait gravement atteinte à l'intégrité sexuelle de l'assurée. Au vu des circonstances, il peut être retenu que, lorsque l'assurée s'est rendu compte que l'homme avait retiré le préservatif elle a ressenti un choc émotionnel extraordinaire, tant en raison du fait que l'homme avait ainsi violé le consentement de l'assurée et que celle-ci était entrée en contact avec les fluides de celui-ci contre son gré (ce qui selon les références citées par le Tribunal fédéral à l'ATF 148 IV 329 consid. 4.2 est propre à causer un traumatisme) qu'en raison des éventuelles conséquences quant à la transmission d'une maladie sexuellement transmissible qu'elle avait cherché à éviter en imposant le port d'un préservatif, en particulier s'agissant d'un homme qu'elle connaissait peu et venant d'un pays où le VIH est endémique. Le comportement postérieur de l'assurée ne fait que confirmer cette appréciation. En effet, elle a rapidement été consulter un médecin à Zurich, où elle se trouvait, puis à Genève quelques heures plus tard. Lors de cette dernière consultation, la médecin a d'ailleurs constaté que l'assurée présentait une thymie triste, une légère angoisse et des ruminations sans idées suicidaires. De plus, l'assurée a indiqué – sans que l'intimée ne le conteste – qu'elle avait débuté un traitement anti-dépresseur à la suite des événements du 26 octobre 2023. En outre, l'assurée a toujours considéré qu'elle avait subi un viol – ce qui démontre bien qu'elle a été particulièrement traumatisée par ces événements – ayant cherché à déposer plainte pénale et rappelant, dans ses échanges avec l'assurance, que c'est ainsi que ce qu'elle avait</w:t>
      </w:r>
    </w:p>
    <w:p>
      <w:r>
        <w:t>- 13 - vécu devait être qualifié. Son mal-être face aux événements litigieux a, par ailleurs, été relevé par l'inspecteur de l'intimée lorsqu'il l'a interrogée. Dès lors, l'assurée a souffert d'un traumatisme psychique consécutif à un événement effrayant au sens de la jurisprudence. c) Au vu de ce qui précède, il faut considérer que l'assurée a subi une atteinte à la santé, sous la forme d'une atteinte psychique, présentant un caractère soudain, dans la mesure où elle a eu conscience de l'événement au moment où elle l'a vécu et, à l'évidence, involontaire (puisque causée par un tiers contre la volonté de l'assurée). Cette atteinte a été causée par un facteur extérieur extraordinaire, à savoir sous la forme d'un stealthing, qui, non seulement, excède, à l'évidence, le cadre des événements et des situations que l'on peut, objectivement, qualifier de quotidiens ou d'habituels dans le domaine des relations sexuelles, mais constitue également un événement d'une grande violence à l'égard de l'intégrité sexuelle de l'assurée et qui est propre à causer un traumatisme extraordinaire, comme cela vient d'être exposé. L'événement du 26 octobre 2023 constitue donc un accident au sens de l'art. 4 LPGA. d) Par surabondance, il convient de considérer que l'assurée a subi, quoi qu'il en soit, une atteinte à la santé physique par l'exposition à un risque d'infection sexuellement transmissible pour les motifs suivants. aa) Tout d'abord, il sied de rappeler que le Tribunal fédéral a estimé que la contamination par le VIH lors d'un viol constituait un accident (cf. ATF 150 V 229 consid. 4.4.3 ; cf. également STÉPHANIE PERRENOUD, in DUPONT/MOSER-SZELESS [édit.], Commentaire romand, Loi sur la partie générale des assurances sociales, Bâle 2025, n° 41 ad art. 4 LPGA). Comme déjà relevé, en l'espèce, l'assurée a été victime d'un stealthing qui répond à la définition de l'infraction de viol au sens de l'art. 190 CP. Par conséquent, l'éventuelle contamination dans ces circonstances répond à la notion d'accident. Au demeurant, quoi qu'il en soit, l'on doit considérer que, dans le cas d'un stealthing, l'agent pathogène pénètre dans l'organisme d'une manière inhabituelle, puisqu'il s'agit d'un rapport d'abord protégé suivi d'un rapport non protégé à l'insu</w:t>
      </w:r>
    </w:p>
    <w:p>
      <w:r>
        <w:t>- 14 - de la victime et non consenti. Ces circonstances sont suffisantes pour retenir que le facteur extérieur présente un caractère extraordinaire, à savoir qu'elles excèdent, à l'évidence, le cadre des événements et des situations que l'on peut, objectivement, qualifier de quotidiens ou d'habituels dans le domaine des relations sexuelles. bb) En l'espèce, est litigieuse la question de l'atteinte à la santé. A cet égard, l'intimée prétend que la notion d'accident ne pourrait pas être retenue en raison du fait que l'assurée n'a pas subi d'atteinte, en l'absence de toute infection avérée. Bien que, comme l'ont souligné les parties, il n'a pas pu être établi avec certitude si l'assurée a été infectée par le VIH, il s'avère qu'il n'était pas possible de l'établir puisqu'elle a pris à temps, le traitement préventif anti-VIH. C'est le lieu de rappeler que, conformément au principe général de l'obligation de diminuer le dommage valable en droit des assurances sociales, ancré notamment à l'art. 21 al. 4 LPGA, l'assuré doit mettre en œuvre tout ce qu'on peut raisonnablement attendre de lui pour atténuer les conséquences de son accident (ATF 134 V 109 consid. 10.2.7 ; 129 V 460 consid. 4.2 ; TF 8C_271/2024 du 11 octobre 2024 consid. 6.2). Or, en l'espèce, l'assurée a précisément tout fait pour diminuer le dommage : elle s'est rendue, dans les heures suivant son exposition à un risque avéré d'infection, auprès d'un médecin et après cette première consultation, s'apercevant que le traitement n'était pas complet, a consulté un second médecin, et ce en respectant le délai de moins de quarante-huit heures après l'exposition permettant un traitement préventif efficace. Il apparait ainsi contraire au principe général de la bonne foi (art. 5 al. 3 Cst.), d'une part, d'exiger d'un assuré qu'il fasse tout ce que l'on peut attendre de lui pour atténuer les conséquences d'un accident – ce que l'assurée a fait en l'espèce – et, d'autre part, d'utiliser le fait que le comportement exigé de l'assuré a eu pour conséquence la disparition du dommage et l'impossibilité de prouver son existence, pour considérer qu'aucun accident ne s'est produit en l'absence d'atteinte avérée. Dès lors, quand bien même la preuve certaine de l'infection au VIH n'a pas pu être apportée – et était de toute façon impossible à apporter compte tenu de la prise du traitement préventif –, il convient de retenir, sous l'angle de la vraisemblance prépondérante, que</w:t>
      </w:r>
    </w:p>
    <w:p>
      <w:r>
        <w:t>- 15 - l'assurée a pu être contaminée, sans toutefois développer l'infection et ce grâce au traitement préventif. C'est le lieu de relever que les médecins consultés ont estimé que le risque d'infection était suffisamment élevé pour prescrire un traitement préventif, notamment en raison des circonstances des relations sexuelles (retrait du préservatif à l'insu de l'assurée, par un homme dont elle ignorait le statut sérologique et qu'elle connaissait peu, provenant d'un pays où le VIH est endémique). A tout le moins, il serait contraire au principe de la bonne foi de faire supporter l'absence de preuve de l'infection à l'assurée alors qu'elle n'a fait que se comporter conformément au principe de l'obligation de diminuer le dommage qui lui était imposé. Le caractère soudain de l'atteinte ainsi que son caractère involontaire ne sont pas contestables, la transmission éventuelle de l'infection ayant lieu lors du retrait du préservatif et du contact avec le sexe non protégé (plus spécifiquement avec le sperme, même sans éjaculation) – à savoir lors du stealthing lui-même –, et contre la volonté de l'assurée, qui avait justement cherché à éviter tout contact sexuel sans préservatif, en conditionnant tout rapport au port de celui-ci. cc) Au vu de ces éléments, il convient de retenir, sous l'angle de la vraisemblance prépondérante, que l'assurée, victime d'un stealthing, par un homme qu'elle connaissait peu, dont elle ignorait le statut sérologique, provenant d'un pays où le VIH est endémique, a pu être contaminée par le VIH, sans finalement développer la maladie grâce au traitement préventif qu'elle a pris, et qu'elle a ainsi subi une atteinte physique, les autres conditions d'un accident étant également remplies (cf. supra consid. 4d/aa). A tout le moins, en application du principe de la bonne foi, aucun désavantage ne doit être supporté par l'assurée du fait qu'en raison de son comportement conforme au principe de l'obligation de diminution du dommage, elle n'a pas pu établir avec certitude qu'elle avait été infectée par le VIH.</w:t>
      </w:r>
    </w:p>
    <w:p>
      <w:r>
        <w:t>- 16 - e) Au vu de l'ensemble de ce qui précède, il y a lieu de retenir que l'événement du 26 octobre 2023 constitue un accident au sens de l'art. 4 LPGA.</w:t>
      </w:r>
    </w:p>
    <w:p>
      <w:r>
        <w:rPr>
          <w:b/>
        </w:rPr>
        <w:t>E. 5</w:t>
      </w:r>
    </w:p>
    <w:p>
      <w:r>
        <w:t>Reste à examiner si l'intimée devait prendre en charge les frais en lien avec les consultations médicales, les tests sérologiques et le traitement préventif anti-VIH.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w:t>
      </w:r>
    </w:p>
    <w:p>
      <w:r>
        <w:rPr>
          <w:b/>
        </w:rPr>
        <w:t>E. 6</w:t>
      </w:r>
    </w:p>
    <w:p>
      <w:r>
        <w:t>a) En définitive, le recours doit être admis, la décision attaquée réformée en ce sens que l'événement du 26 octobre 2023 constitue un accident au sens de l'art. 4 LPGA et l'intimée doit prendre en charge les frais en relation avec les consultations initiales, les tests sérologiques, le traitement préventif anti-VIH et les consultations en découlant. b) Il n'y a pas lieu de percevoir de frais judiciaires (art. 61 let. fbis LPGA), ni d'allouer de dépens, les parties ayant procédé dans l'accomplissement d'une tâche réglée par le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