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ZA24.022287 vom 22. Oktober 2025</w:t>
      </w:r>
    </w:p>
    <w:p>
      <w:r>
        <w:t>VD Tribunal cantonal, 2025-10-22, FR</w:t>
      </w:r>
    </w:p>
    <w:p>
      <w:r>
        <w:rPr>
          <w:b/>
        </w:rPr>
        <w:t xml:space="preserve">Quelle: </w:t>
      </w:r>
      <w:r>
        <w:t>https://mcp.opencaselaw.ch/entscheid/vd_gerichte_ZA24.022287</w:t>
      </w:r>
    </w:p>
    <w:p>
      <w:r>
        <w:t>FR: VD_GERICHTE ZA24.022287 du 22 octobre 2025</w:t>
      </w:r>
    </w:p>
    <w:p>
      <w:r>
        <w:t>IT: VD_GERICHTE ZA24.022287 del 22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- 6 -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la question de savoir si la recourante peut – au titre de séquelles tardives – prétendre à des prestations de l’assurance-accidents en lien avec la symptomatologie annoncée à l’intimée à la fin de l’année 2023, singulièrement la question du lien de causalité entre cette symptomatologie et les accidents survenus les 2 et 27 octobre 2019.</w:t>
      </w:r>
    </w:p>
    <w:p>
      <w:r>
        <w:rPr>
          <w:b/>
        </w:rPr>
        <w:t>E. 3</w:t>
      </w:r>
    </w:p>
    <w:p>
      <w:r>
        <w:t>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w:t>
      </w:r>
    </w:p>
    <w:p>
      <w:r>
        <w:t>- 7 -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 La responsabilité de l’assureur-accidents s’étend, en principe, à toutes les conséquences dommageables qui se trouvent dans un rapport de causalité naturelle et adéquate avec l’événement assuré (ATF 148 V 356 consid. 3). Ainsi, l’art. 11 OLAA (ordonnance fédérale du 20 décembre 1982 sur l’assurance-accidents ; RS 832.202) prévoit que les prestations d’assurance sont également allouées en cas de rechutes et de séquelles tardives.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w:t>
      </w:r>
    </w:p>
    <w:p>
      <w:r>
        <w:t>- 8 -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Faute de preuve, la décision sera défavorable à la personne assurée (TF 8C_249/2018 du 12 mars 2019 consid. 4.2 et les références).</w:t>
      </w:r>
    </w:p>
    <w:p>
      <w:r>
        <w:rPr>
          <w:b/>
        </w:rPr>
        <w:t>E. 4</w:t>
      </w:r>
    </w:p>
    <w:p>
      <w:r>
        <w:t>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w:t>
      </w:r>
    </w:p>
    <w:p>
      <w:r>
        <w:t>- 9 -</w:t>
      </w:r>
    </w:p>
    <w:p>
      <w:r>
        <w:rPr>
          <w:b/>
        </w:rPr>
        <w:t>E. 5</w:t>
      </w:r>
    </w:p>
    <w:p>
      <w:r>
        <w:t>avril 2024). Or les antécédents d’entorses évoqués par le Dr O.________ ne sont aucunement documentés. Au contraire, la Dre P.________ a attesté que la consultation du 21 octobre 2019 portait sur la première entorse de</w:t>
      </w:r>
    </w:p>
    <w:p>
      <w:r>
        <w:t>- 10 - cheville constatée à l’égard d’une patiente dont le dossier remontait à 2012 (cf. certificat médical du 28 mars 2024). A cela s’ajoute que le Dr O.________ a décrit en des termes contradictoires l’ampleur des antécédents en question, se référant tantôt à « d’anciennes entorses sévères » (cf. avis du 29 février 2024), tantôt à « de nombreuses petites entorses » (cf. avis du 5 avril 2024). Il apparaît, en d’autres termes, que les antécédents allégués demeurent incertains et ne permettent donc pas d’asseoir un quelconque raisonnement sous l’angle du lien de causalité. Compte tenu des carences ci-dessus exposées, l’appréciation du Dr O.________ ne saurait être avalisée par la Cour de céans. b) Ce nonobstant, il n’apparaît pas nécessaire de compléter l’instruction du dossier. En effet, l’analyse des pièces en mains du Tribunal démontre qu’il n’est pas possible de rattacher – au degré de la vraisemblance prépondérante, appliquée généralement à l'appréciation des preuves dans l'assurance sociale (ATF 142 V 435 consid. 1 et les références) – les atteintes présentées à la fin de l’année 2023 aux événements annoncés en 2019. A cet égard, il convient de rappeler qu’à la suite de l’événement survenu le 2 octobre 2019, la Dre P.________, consultée le 21 octobre 2019, a réalisé un examen clinique mettant en évidence une entorse bénigne du LLE gauche (cf. rapport initial du 28 novembre 2019). Après avoir examiné l’assurée le jour même de l’événement accidentel du 27 octobre 2019 et fait effectuer des clichés radiologiques, le Dr S.________ a pour sa part diagnostiqué une entorse externe de la cheville gauche, avec des douleurs « fx ant » au niveau du LLE (cf. rapport de radiographie du 27 octobre 2019 ; cf. rapport médical LAA du 13 novembre 2019). C’est dire, en résumé, que les documents médicaux au dossier font objectivement état d’entorses externes de la cheville gauche subies au cours des événements des 2 et 27 octobre 2019. Force est de constater, en revanche, qu’aucune lésion au niveau du LLI ou du LTFA n’a été évoquée – ni, a fortiori, objectivée – dans</w:t>
      </w:r>
    </w:p>
    <w:p>
      <w:r>
        <w:t>- 11 - les suites immédiates des événements des 2 et 27 octobre 2019. S’agissant plus particulièrement de l’accident de sport survenu le 27 octobre 2019, la Cour de céans observe que le Dr S.________ a expressément conclu, sur la base de son examen clinique, à l’absence de lésion au niveau du LLI ou du « PTI » (à savoir le ligament péronéo-tibial antérieure et inférieur [LPTI], terminologie synonyme du LTFA [cf. site de l’Académie française de médecine : https://www.academie-medecine.fr/le- dictionnaire/index.php?q=Ligament+tibio+fibulaire+ant%C3%A9rieur]), Or il apparaît que la prise en charge entreprise dès l’automne 2023 auprès du Dr F.________ visait essentiellement à traiter des lésions au niveau du LTFA et du LLI de la cheville gauche (cf. rapports du Dr F.________ des 26 septembre et 1er novembre 2023), telles qu’objectivées par des examens d’imagerie (cf. rapport d’IRM du 4 octobre 2023) puis dans le contexte de l’arthroscopie pratiquée par le Dr F.________ (cf. protocole opératoire du 27 novembre 2023). Partant, dans la mesure où les constats effectués dans les suites immédiates des événements des 2 et 27 octobre 2019 n’ont mis en lumière que des entorses externes de la cheville gauche, sans révéler aucune anomalie ou altération particulière au niveau de l’un des deux ligaments visés par l’arthroscopie du 27 novembre 2023, il n’est dès lors pas possible de retenir, au degré de la vraisemblance prépondérante, que lesdits événements sont à l’origine des lésions structurelles de la cheville gauche traitées quatre ans plus tard par le Dr F.________. Peu importe, sous cet angle, que les rapports établis par le Dr F.________ fassent état de lésions du LTFA et du LLI « à la suite » d’une entorse sévère de la cheville gauche le 27 octobre 2019 (cf. rapport des 26 septembre et 1er novembre 2023 ; cf. protocole opératoire du 27 novembre 2023). Cette assertion ne repose en effet sur aucune démonstration médicale permettant d’expliquer en quoi les lésions observées en 2023 pourraient concrètement être rattachées à l’un des deux événements survenus en octobre 2019. Au demeurant, il convient de souligner ici que le seul fait que des symptômes douloureux ne se sont manifestés qu’après la survenance d’un accident ne suffit pas à établir un</w:t>
      </w:r>
    </w:p>
    <w:p>
      <w:r>
        <w:t>- 12 - rapport de causalité naturelle avec cet accident (raisonnement post hoc ergo propter hoc ; ATF 119 V 335 consid. 2b/bb ; TF 8C_315/2023 du 9 janvier 2024 consid. 3.2). Pour le surplus, c’est en vain que la recourante se prévaut de l’absence d’autre événement traumatique pouvant justifier ses lésions ligamentaires. En effet, le caractère objectivable d'une atteinte ne signifie pas qu'il existe assurément un lien de causalité – naturelle et adéquate – avec un événement accidentel antérieur (TF 8C_548/2018 du 7 novembre 2018 consid. 4). c) Il découle de ce qui précède qu’en refusant de prester à raison des lésions de la cheville gauche traitées par voie arthroscopique en 2023, l’intimée n’a pas violé le droit fédéral.</w:t>
      </w:r>
    </w:p>
    <w:p>
      <w:r>
        <w:rPr>
          <w:b/>
        </w:rPr>
        <w:t>E. 6</w:t>
      </w:r>
    </w:p>
    <w:p>
      <w:r>
        <w:t>a) En conclusion, le recours, mal fondé, doit être rejeté et la décision sur opposition attaquée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