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ZA24.019919 vom 1. Mai 2025</w:t>
      </w:r>
    </w:p>
    <w:p>
      <w:r>
        <w:t>VD Tribunal cantonal, 2025-05-01, FR</w:t>
      </w:r>
    </w:p>
    <w:p>
      <w:r>
        <w:rPr>
          <w:b/>
        </w:rPr>
        <w:t xml:space="preserve">Quelle: </w:t>
      </w:r>
      <w:r>
        <w:t>https://mcp.opencaselaw.ch/entscheid/vd_gerichte_ZA24.019919</w:t>
      </w:r>
    </w:p>
    <w:p>
      <w:r>
        <w:t>FR: VD_GERICHTE ZA24.019919 du 1 mai 2025</w:t>
      </w:r>
    </w:p>
    <w:p>
      <w:r>
        <w:t>IT: VD_GERICHTE ZA24.019919 del 1 maggio 2025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bien-fondés, les recours doivent être admis, la décision sur opposition attaquée annulée et la cause renvoyée à l’intimée pour qu’elle rende une nouvelle décision après avoir procédé à une instruction complémentaire conformément aux considérants du présent arrêt. b) Il n’y a pas lieu de percevoir de frais judiciaires (art. 61 let. fbis LPGA).</w:t>
      </w:r>
    </w:p>
    <w:p>
      <w:r>
        <w:t>- 27 - c) Vu le sort de ses conclusions, le recourant a droit à une indemnité de dépens à titre de participation aux honoraires de son conseil (art. 61 let. g LPGA). Il convient d’arrêter cette indemnité à 1’500 fr., débours et TVA compris (art. 10 et 11 TFJDA [tarif du 28 avril 2015 des frais judiciaires et des dépens en matière administrative ; BLV 173.36.5.1]), et de la mettre intégralement à la charge de l’intimée. La CNA ne peut, pour sa part, prétendre à l’octroi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