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ZA24.016167 vom 2. Februar 2026</w:t>
      </w:r>
    </w:p>
    <w:p>
      <w:r>
        <w:t>VD Tribunal cantonal, 2026-02-02, FR</w:t>
      </w:r>
    </w:p>
    <w:p>
      <w:r>
        <w:rPr>
          <w:b/>
        </w:rPr>
        <w:t xml:space="preserve">Quelle: </w:t>
      </w:r>
      <w:r>
        <w:t>https://mcp.opencaselaw.ch/entscheid/vd_gerichte_ZA24.016167</w:t>
      </w:r>
    </w:p>
    <w:p>
      <w:r>
        <w:t>FR: VD_GERICHTE ZA24.016167 du 2 février 2026</w:t>
      </w:r>
    </w:p>
    <w:p>
      <w:r>
        <w:t>IT: VD_GERICHTE ZA24.016167 del 2 febbraio 2026</w:t>
      </w:r>
    </w:p>
    <w:p>
      <w:pPr>
        <w:pStyle w:val="Heading2"/>
      </w:pPr>
      <w:r>
        <w:t>Erwägungen</w:t>
      </w:r>
    </w:p>
    <w:p>
      <w:r>
        <w:rPr>
          <w:b/>
        </w:rPr>
        <w:t>E. 7</w:t>
      </w:r>
    </w:p>
    <w:p>
      <w:r>
        <w:t>En l’occurrence, il est admis que le recourant n’avait jamais présenté de problèmes aux genoux avant 2021, comme cela ressort du rapport d’incorporation à l’armée du 7 avril 2021. En juillet 2021, durant son service militaire, il a souffert de son genou gauche à la suite d’une hyperextension de la jambe, ce qui l’a conduit à consulter le médecin de troupe à trois reprises, sans toutefois qu’une annonce auprès de la CNA ne soit effectuée dans le cadre de l’assurance militaire. Environ une année plus tard, le 5 septembre 2022, alors qu’il était revenu à la vie civile et qu’il était assuré contre les accidents auprès de C.________ SA, l’assuré a de nouveau présenté de fortes douleurs au genou gauche à la suite d’un faux mouvement durant un jogging en forêt. Les imageries réalisées ont mis en évidence une rupture ancienne du ligament croisé antérieur, ainsi qu’une lésion du ménisque en anse de seau. Le 11 octobre 2022, le Dr L.________ a procédé à une reconstruction du ligament croisé antérieur gauche par arthroscopie, avec une suture du ménisque interne. Les prestations litigieuses concernent le traitement des affections au genou gauche ainsi que d’éventuelles indemnités journalières liées à l’incapacité de travail subie par l’assuré. On peut préciser à cet égard que l’assuré a indiqué, lors de l’audience, qu’il n’y avait pas eu de versement d’indemnités journalières car il avait démissionné de son emploi. Or, la fin de son contrat n’est intervenue que le 28 février 2023. Il s’agit en tous les cas de prestations de courte durée pour lesquelles les règles de coordination prévoient que, lorsque l’assuré a droit à la fois aux prestations de l’assurance militaire et à celles de l’assurance-accidents, seul intervient l’assureur tenu directement à prestations selon la législation applicable, c’est-à-dire l’assureur à qui il appartient d’allouer des prestations en raison de l’aggravation actuelle de l’atteinte à la santé. En l’occurrence, tant la CNA que C.________ SA nient leur responsabilité dans la prise en charge des atteintes au genou gauche de l’assuré, chacun de ces assureurs ayant rendu une décision, puis une décision sur opposition dans lesquelles ils 10J010</w:t>
      </w:r>
    </w:p>
    <w:p>
      <w:r>
        <w:t>- 22 - refusent de prester. Dans la mesure où les troubles au genou de B.________ se sont aggravés le 5 septembre 2022, ayant nécessité une intervention chirurgicale, alors qu’il était assuré auprès de C.________ SA, il convient de statuer en premier lieu sur le refus de prise en charge prononcé par cette dernière. En effet, si C.________ SA devait être considérée comme tenue à prestations pour les troubles au genou de l’assuré, elle ne pourrait pas se départir de son obligation de prise en charge même dans l’hypothèse où la responsabilité de l’assurance militaire serait aussi reconnue, puisque C.________ SA serait en l’occurrence l’assureur directement tenu à prestations au regard des règles de coordination. Il convient de préciser à cet égard que la décision sur opposition rendue par la CNA fait l’objet d’une procédure de recours distincte auprès de la Cour des assurances sociales et que cette affaire fera l’objet d’un arrêt séparé.</w:t>
      </w:r>
    </w:p>
    <w:p>
      <w:r>
        <w:rPr>
          <w:b/>
        </w:rPr>
        <w:t>E. 8</w:t>
      </w:r>
    </w:p>
    <w:p>
      <w:r>
        <w:t>a) Il convient, dans un premier temps, de déterminer si l’événement du 5 septembre 2022 répond à la notion d’accident au sens de l’art. 4 LPGA et doit, à ce titre, entraîner l’obligation de prester de C.________ SA pour les atteintes en lien de causalité avec cet événement. Comme relevé par C.________ SA, les déclarations de l’assuré quant au déroulement de l’événement du 5 septembre 2022 ont varié. Dans l’annonce de sinistre et les réponses au formulaire de C.________ SA du 15 septembre 2022 (et non pas du 1er juin 2022 comme indiqué par erreur par l’intimée dans sa décision sur opposition), l’assuré a fait mention d’une torsion, respectivement d’une rotation anormale de l’articulation du genou lors d’une course à pied en forêt. Interrogé expressément sur l’existence d’un événement particulier tel qu’un coup, une chute ou une glissade, il a indiqué avoir fait un « faux mouvement », terme qu’il a également utilisé dans la description détaillée de ce qui s’était passé. De même, il ressort du rapport de la consultation au service des urgences du 7 septembre 2022 qu’il avait effectué un faux mouvement en courant la veille. Conformément à la jurisprudence relative aux premières déclarations, rien ne permet de s’écarter de la version des faits donnée en premier lieu par l’assuré et ce, à plusieurs reprises. Il faut donc retenir qu’il a subi un faux mouvement du genou en courant, sans qu’il ne se passe quelque chose de particulier. 10J010</w:t>
      </w:r>
    </w:p>
    <w:p>
      <w:r>
        <w:t>- 23 - Les nouvelles déclarations faites par la suite par l’assuré, dans lesquelles il mentionne l’existence d’événements extérieurs extraordinaires, présentent par ailleurs des divergences puisqu’il a tantôt indiqué avoir glissé sur un relief (entretien avec C.________ SA du 20 février 2023), tantôt avoir trébuché sur une racine puis être tombé (entretien avec la CNA le 18 décembre 2023). Dans son courrier du 6 février 2024, l’assuré a à nouveau indiqué qu’il avait trébuché sur un relief, mais sans mentionner de chute. A l’occasion de l’audience du 16 juillet 2024, il a exposé qu’il n’avait pas de souvenir précis, mais se rappelait avoir été déstabilisé par le relief et que c’était en revenant sur le lieu de l’événement qu’il avait remarqué la présence de racines et fissures. Les divergences susmentionnées ainsi que le manque d’un descriptif précis de ce qui s’est passé plaident également pour s’en tenir aux premières déclarations de l’assuré, selon lesquelles le genou de l’assuré a effectué un faux mouvement de torsion. Il importe par ailleurs peu que ce faux mouvement soit dû à la présence d’un relief ou d’une racine puisque le fait de poser le pied sur de tels éléments lors d’un jogging en forêt n’a rien d’extraordinaire, mais fait partie des aléas inhérents à une telle activité. En outre, s’agissant de la chute que l’assuré a parfois mentionnée, force est de constater, sur la base des explications données, que celle-ci ne constitue pas une cause extérieure extraordinaire qui a entraîné l’atteinte à la santé, mais qu’il s’agit au contraire d’une chute banale, qui a fait suite au faux mouvement et à la torsion de l’articulation du genou. Il résulte de ce qui précède que l’événement du 5 septembre 2022 ne peut être qualifié d’accident au sens de l’art. 4 LPGA. b) Il convient encore de déterminer si la responsabilité de C.________ SA est engagée compte tenu de l’existence de lésions corporelles au sens de l’art. 6 al. 2 LAA. Il est admis que la rupture du ligament croisé antérieur et la lésion du ménisque constituent de telles lésions. L’assureur- accidents est toutefois libéré de son obligation de prester s’il prouve que la 10J010</w:t>
      </w:r>
    </w:p>
    <w:p>
      <w:r>
        <w:t>- 24 - lésion est due principalement à l’usure ou à une maladie. Les appréciations des médecins divergent à ce sujet. Le Dr M.________ relève que la déchirure méniscale est principalement due à l’insuffisance du ligament croisé antérieur, laquelle est ancienne et ne concerne donc pas C.________ SA. De son côté, le Dr P.________ estime que, même en admettant un possible étirement du LCA antérieur au 5 septembre 2022, le traumatisme subi ce jour-là, quoique relativement banal, a été responsable de la rupture complète du LCA, par un mécanisme de rupture en deux temps, et qu’en l’absence de signes évocateurs d’une atteinte méniscale avant cette date, la lésion en anse de seau est également survenue au décours du traumatisme du 5 septembre 2022, au degré de la vraisemblance prépondérante. Compte tenu de ces appréciations contradictoires, une expertise judiciaire a été mise en œuvre auprès du Dr N.________. Celui-ci a considéré que tous les éléments cliniques et radiologiques indiquaient que l’événement du 5 septembre 2022 n’avait fait qu’aggraver une situation préexistante d’instabilité chronique du genou gauche sur une lésion ancienne du LCA, très probablement survenue, c’est-à-dire avec un haut degré de vraisemblance prépondérante, à la suite de l’accident de football dans le cadre de l’armée en juillet 2021. L’expertise judiciaire du Dr N.________ peut se voir reconnaître une pleine valeur probante. Celui-ci a en effet pris ses conclusions de manière motivée et détaillée, en pleine connaissance du dossier et de l’anamnèse, après avoir procédé à un examen clinique de l’assuré et analysé les imageries au dossier. Le seul fait qu’il n’appartenait effectivement pas à l’expert de se prononcer sur l’assureur tenu de prendre en charge les frais de traitement de l’assuré, comme le relève la CNA, ne suffit pas à nier la valeur probante de son expertise, laquelle apporte un avis médical circonstancié et convaincant. Sur la base de l’IRM du 30 septembre 2022, l’expert confirme que l’aspect du LCA, en grande partie résorbé, est compatible avec une lésion ancienne complète puisque ce ligament n’est pratiquement plus 10J010</w:t>
      </w:r>
    </w:p>
    <w:p>
      <w:r>
        <w:t>- 25 - reconnaissable et qu’on ne visualise pas non plus d’œdème ou de signe de saignement récent, ce qui contredit l’hypothèse d’une lésion de ce ligament en deux temps (expertise p. 4). Il précise également qu’il ne retrouve, sur cette IRM, aucune contusion osseuse typique, constatée habituellement après une rupture récente du LCA par torsion du genou (expertise p. 6). L’expert s’est par ailleurs prononcé sur le mécanisme traumatique décrit. Il explique que le « shoot » en hyperextension du genou gauche décrit par l’assuré est parfaitement compatible avec une rupture du LCA par un effet « coupe-cigare » par l’échancrure intercondylienne, qui cisaille le ligament croisé antérieur lors du mouvement d’hyperextension. Prenant position sur les rapports des consultations auprès du médecin de troupe, il relève que les descriptions et l’examen cliniques sont trop succincts et imprécis pour écarter la possibilité d’une entorse grave du genou et regrette l’absence de bilan d’imagerie dans les suites immédiates de l’accident. Il constate que le médecin de l’armée n’indique pas, dans aucun de ses rapports de consultation, s’il y avait la présence d’un épanchement, alors qu’il s’agit de l’élément clinique le plus essentiel à rechercher après une lésion articulaire, déterminant pour la réalisation d’investigations complémentaires par une imagerie. Il précise que le test de Lachman, même effectué par un médecin qui a une expertise de l’examen clinique du genou, peut être difficile à réaliser et qu’il arrive très fréquemment de voir des patients qui souffrent d’une rupture complète du LCA chez qui le médecin de premier recours a décrit un test de Lachman négatif. Le Dr N.________ écarte en outre le diagnostic de contusion du genou retenu par le médecin militaire en soulignant l’absence de choc direct sur cette articulation. A ses yeux, l’assuré décrit tous les symptômes classiques d’une lésion du LCA dans les suites immédiates de l’accident de foot ainsi que l’insuffisance chronique de ce ligament dans les suites à moyen et long terme, à savoir une limitation dans les activités sportives à cause d’une insécurité sur le genou et même des épisodes d’instabilité dans des activités de la vie quotidienne. Il fait remarquer que l’assuré ne ressent plus 10J010</w:t>
      </w:r>
    </w:p>
    <w:p>
      <w:r>
        <w:t>- 26 - d’instabilité rotatoire depuis son opération, ce qui plaide pour retenir qu’il s’agissait bien des symptômes d’insuffisance chronique du LCA qu’il ressentait auparavant, depuis son accident de football à l’armée. A cet égard, on peut relever que le Dr P.________ n’est pas très convaincant lorsqu’il retient que la description de l’insécurité que ressent l’assuré au niveau de son genou à la suite de son service militaire ne correspond pas à une « véritable instabilité subjective », quand bien même ce médecin relève que l’assuré se plaignait d’un sentiment d’insécurité à la descente des escaliers, qu’il avait relaté un événement de lâchage du genou et ressentait des troubles lors des changements de direction brusques et de la course. De même, on peine à comprendre les conclusions prises par le Dr P.________ qui est d’avis que l’assuré ne décrit pas vraiment de dérobements de son genou, tout en reconnaissant que la bonne musculature au moment du traumatisme durant le service militaire a pu permettre de bien stabiliser le genou. Le Dr N.________ expose par ailleurs qu’en cas d’insuffisance chronique du LCA, il n’est pas inhabituel qu’un simple faux-pas lors d’une prise d’appui sur un chemin instable de forêt génère spontanément une anse de seau méniscal interne et qu’il s’agit-là d’une situation clinique très fréquemment rencontrée en cas de diagnostic manqué de rupture du LCA (expertise p. 6). Il précise que l’hyperlaxité physiologique présentée par l’assuré est un facteur de risque supplémentaire pour entraîner un nouveau déboitement du genou en cas d’insuffisance chronique du LCA après une rupture ignorée et qu’un tel redéboitement articulaire est un facteur de risque de lésion méniscale. Il en conclut que l’anse de seau méniscale interne luxée est due de manière prépondérante, à plus de 50 %, à un événement antérieur, à savoir à l’accident de football à l’armée, qui a provoqué de manière hautement probable une rupture du ligament croisé antérieur et généré une instabilité chronique du genou gauche. c) Il ressort clairement de l’expertise du Dr N.________ que la lésion du LCA était antérieure au 1er juillet 2022, date à partir de laquelle B.________ a été assuré auprès de C.________ SA. Cette lésion corporelle ne 10J010</w:t>
      </w:r>
    </w:p>
    <w:p>
      <w:r>
        <w:t>- 27 - peut par conséquent pas entraîner un devoir de prestations de la part de C.________ SA. Quant à la lésion méniscale, celle-ci s’est très vraisemblablement produite le 5 septembre 2022. Cela étant, l’expert précise qu’en présence d’une insuffisance chronique du LCA, et ce d’autant plus chez un patient hyperlaxe, la complication d’anse de seau méniscale interne qui survient plusieurs mois ou plusieurs années après la rupture du LCA est fréquente et représente une complication connue, habituelle et même attendue (expertise p. 5). Le Dr N.________ ne voit ainsi rien de surprenant à ce que l’anse de seau méniscale interne luxée soit apparue à la suite d’une mauvaise prise d’appui assez banale en courant sur un chemin de forêt (expertise p. 8). Il en conclut, de manière convaincante, que l’anse de seau méniscale interne luxée est due, de manière prépondérante, soit à plus de 50 %, à un événement antérieur. Dans la mesure où il a été établi, au degré de la vraisemblance prépondérante, que la lésion méniscale est due à plus de 50 % à un état préexistant, antérieur à la couverture d’assurance par C.________ SA, cette dernière n’est pas non plus tenue à prestations pour l’atteinte méniscale en application de l’art. 6 al. 2 LAA. d) Dans ses écritures, la CNA estime que l’existence d’une nouvelle lésion corporelle le 5 septembre 2022, à savoir la lésion au ménisque, suffit à attribuer la prise en charge du cas à C.________ SA selon les règles de coordination, pour lesquelles la causalité entre la survenance d’une telle lésion et un accident antérieur ne rentre pas en ligne de compte. Ce raisonnement ne saurait être suivi. Si les règles de coordination interviennent lorsque plusieurs assureurs sont tenus à prestations pour la même atteinte, elles ne permettent cependant pas de faire naître la responsabilité d’un assureur à l’égard d’une atteinte. Ce n’est ainsi que si, en application de la législation applicable en matière d’assurance-accidents, C.________ SA est considérée comme tenue à prester pour au moins une des atteintes au genou gauche de l’assuré qu’il conviendrait de faire usage des règles de coordination. Or, tel n'est pas le cas en l’occurrence comme démontré ci-dessus. 10J010</w:t>
      </w:r>
    </w:p>
    <w:p>
      <w:r>
        <w:t>- 28 - e) Il résulte de ce qui précède que C.________ SA était fondée à refuser d’intervenir pour les troubles du genou gauche de l’assuré.</w:t>
      </w:r>
    </w:p>
    <w:p>
      <w:r>
        <w:rPr>
          <w:b/>
        </w:rPr>
        <w:t>E. 9</w:t>
      </w:r>
    </w:p>
    <w:p>
      <w:r>
        <w:t>a) Les recours doivent par conséquent être rejetés et la décision sur opposition attaquée confirmée. b) Il n’y a pas lieu de percevoir de frais judiciaires (art. 61 let. f bis LPGA). c) Les parties recourantes n’ont pas doit à des dépens dès lors qu’elles n’obtiennent pas gain de cause (art. 61 let. g LPGA), B.________ ayant au surplus procédé sans mandataire qualifié (ATF 127 V 205 consid. 4b) et la CNA ne pouvant prétendre à des dépens puisqu’elle a agi dans l’accomplissement d’une tâche réglée par le droit public (ATF 126 V 143 consid. 4 ; voir également ATF 128 V 323).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