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ZA24.014666 vom 28. April 2025</w:t>
      </w:r>
    </w:p>
    <w:p>
      <w:r>
        <w:t>VD Tribunal cantonal, 2025-04-28, FR</w:t>
      </w:r>
    </w:p>
    <w:p>
      <w:r>
        <w:rPr>
          <w:b/>
        </w:rPr>
        <w:t xml:space="preserve">Quelle: </w:t>
      </w:r>
      <w:r>
        <w:t>https://mcp.opencaselaw.ch/entscheid/vd_gerichte_ZA24.014666</w:t>
      </w:r>
    </w:p>
    <w:p>
      <w:r>
        <w:t>FR: VD_GERICHTE ZA24.014666 du 28 avril 2025</w:t>
      </w:r>
    </w:p>
    <w:p>
      <w:r>
        <w:t>IT: VD_GERICHTE ZA24.014666 del 28 aprile 2025</w:t>
      </w:r>
    </w:p>
    <w:p>
      <w:pPr>
        <w:pStyle w:val="Heading2"/>
      </w:pPr>
      <w:r>
        <w:t>Erwägungen</w:t>
      </w:r>
    </w:p>
    <w:p>
      <w:r>
        <w:rPr>
          <w:b/>
        </w:rPr>
        <w:t>E. 2</w:t>
      </w:r>
    </w:p>
    <w:p>
      <w:r>
        <w:t>a) Le litige porte uniquement sur la question de savoir si c’est à juste titre que l’intimée a refusé la prise en charge du traitement médical après la fixation de la rente. b) La question des intérêts moratoires liés au versement ultérieur des indemnités journalières pour la période du 10 décembre 2015 au 29 février 2016 n’est plus litigieuse au vu du versement par S.________ de 3'541 fr. à ce titre en février 2024, montant qui n’a pas été contesté par la recourante. c) Il faut rappeler que, dès le dépôt d’un recours, l’administration perd la maîtrise sur l’objet du litige, qui passe au tribunal. Lorsque le tribunal s’est prononcé sur le fond, même s’il a rejeté le recours, l’administration ne peut pas reconsidérer ni procéder à une révision procédurale du jugement. En revanche, si le jugement porte sur un rapport de droit durable, l’administration peut adapter le rapport en question à une modification des circonstances, pour la période postérieure à celle sur laquelle s’est prononcé le tribunal. L’effet dévolutif ne porte en effet que sur l’objet du litige dont le tribunal est saisi, ce qui vaut aussi en ce qui concerne la délimitation de cet objet dans le temps (Jean Métral in Dupont/Moser-Szeless [édit.], Loi sur la partie générale des assurances sociales, Commentaire romand, Bâle 2018, nos 53 et 57 ad art. 56 LPGA). Une décision de l’administration se prononçant à tort sur un objet dont la compétence a été transférée à la juridiction cantonale en raison de l’effet dévolutif du recours est nulle, de sorte qu’un recours déposé à son encontre est irrecevable (TFA U 4/04 du 10 mars 2004 consid. 3). En d’autres termes, il y a nullité lorsqu'il y a un conflit positif de compétences et donc la possibilité de deux décisions contradictoires (ATF 150 II 244 consid. 4.2.2 ; 109 V 234 consid. 2 et les références). En l’occurrence, l’arrêt de la Cour de céans du 14 juin 2023 (AA 109/22 - 73/2023) a statué définitivement, compte tenu de l’absence de recours au Tribunal fédéral, sur la question de la stabilisation de l’état de santé de l’assurée, la fin du droit aux indemnités journalières et au</w:t>
      </w:r>
    </w:p>
    <w:p>
      <w:r>
        <w:t>- 10 - traitement médical, sur la capacité de travail de l’assurée, ainsi que sur son droit à la rente et la date de départ de celle-ci. Ces différents points ne peuvent dès lors plus faire l’objet d’une décision de la part de l’administration. La décision du 7 septembre 2023 est dès lors nulle en tant qu’elle statue à nouveau sur les éléments précités. Il en va de même de la décision sur opposition du 5 mars 2024 en tant qu’elle confirme cette décision sur ces aspects. Seule reste du ressort de l’administration la question du montant chiffré de la rente compte tenu du gain assuré de la recourante, sur laquelle S.________ a invité son réassureur pour les prestations à long terme à statuer. Cela étant, il faut constater que dans la mesure où la recourante n’a pas recouru sur les points précités, cela n'a pas d’incidence sur le présent recours.</w:t>
      </w:r>
    </w:p>
    <w:p>
      <w:r>
        <w:rPr>
          <w:b/>
        </w:rPr>
        <w:t>E. 3</w:t>
      </w:r>
    </w:p>
    <w:p>
      <w:r>
        <w:t>a) L'assuré a droit au traitement médical approprié des lésions résultant de l'accident (art. 10 al. 1 LAA). Le traitement médical cesse dès la naissance du droit à la rente (art. 19 al. 1, deuxième phrase, LAA). Lorsque la rente a été fixée, les prestations pour soins et remboursement de frais (art. 10 à 13 LAA) sont accordées à son bénéficiaire aux conditions énumérées à l'art. 21 al. 1 LAA, à savoir lorsqu’il souffre d’une maladie professionnelle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b) Il n’est pas contesté qu’en l’occurrence, la recourante ne souffre d’aucune maladie professionnelle. Aucun frais de traitement ne saurait dès lors être pris en charge sur la base de l’art. 21 al. 1 let. a LAA. c) Dans l’arrêt du 21 juin 2023, la Cour de céans a jugé, par rapport à l’annonce de rechute faite par l’assurée, que cette dernière n’avait pas rendu plausible une aggravation de son état de santé en lien</w:t>
      </w:r>
    </w:p>
    <w:p>
      <w:r>
        <w:t>- 11 - de causalité avec l’accident (AA 109/22 - 73/2023 consid. 10b). En l’absence d’une situation de rechute ou de séquelles tardives, la recourante ne saurait se prévaloir de l’art. 21 al. 1 let. b LAA. d) Quant à l'art. 21 al. 1 let. c LAA, il subordonne la prise en charge ou le maintien du traitement médical après la fixation de la rente d'invalidité à la condition que le bénéficiaire de cette prestation en ait besoin de manière durable pour conserver sa capacité résiduelle de gain. Il s'agit de prestations durables, dont l'octroi ne peut pas être limité à quelques mois (ATF 144 V 418 ; TF 8C_691/2021 du 24 février 2022 consid. 3.3). L’appréciation faite par le Dr G.________ le 28 février 2024 est succincte et tend notamment à remettre en question la causalité entre l’accident et les plaintes de la recourante relatives à ses membres inférieurs, quand bien même cette question a été appréciée à plusieurs reprises par les experts du P.________, dont les rapports se sont vu reconnaître pleine valeur probante (AA 109/22 - 73/2023 consid. 5). De même, les considérations du Dr K.________ au sujet de la causalité naturelle ne sont pas déterminantes, cette question ayant été définitivement tranchée dans l’arrêt précité (consid. 6). Seule doit être examinée en l’occurrence l’éventuelle nécessité de poursuivre un traitement médical des atteintes reconnues en lien de causalité avec l’accident. Dans ses écritures, la recourante soutient que les séances de physiothérapie et le traitement antalgique sont indispensables pour la conservation de sa capacité résiduelle de gain. Cependant, aucun des médecins dont les avis figurent au dossier n'indique que tel est le cas, quoi qu’elle en dise. Le Dr K.________ ne fait en effet que mentionner les traitements suivis en lien avec les atteintes aux membres inférieurs, mais n’indique pas que ces traitements seraient nécessaires au maintien de la capacité résiduelle de travail de la recourante, ni ne précise pour quels motifs cela serait le cas.</w:t>
      </w:r>
    </w:p>
    <w:p>
      <w:r>
        <w:t>- 12 - Il faut constater que, dans leur rapport d’expertise du 23 août 2019, les experts du P.________ ne subordonnaient la capacité résiduelle de gain de la recourante à la poursuite d’aucun traitement particulier (évaluation consensuelle p. 10). Ils relevaient, au contraire, que les divers traitements antalgiques, anti-inflammatoires et physiothérapeutiques dont elle bénéficiait ne la soulageaient que partiellement (volet de médecine interne p. 22, volet orthopédique p. 19). C’est également ce que confirme le Dr K.________ dans son rapport du 22 décembre 2023 puisqu’il indique que les douleurs dont se plaint la recourante sont résistantes à tout traitement antalgique et physiothérapeutique. Il n’apparaît pas nécessaire d’examiner plus avant la formulation utilisée par le Dr K.________ dans sa réponse du 8 février 2024 quant au fait que l’assurée « requiert » une séance de physiothérapie par semaine environ, puisqu’il n’allègue de toute manière pas que ce traitement serait nécessaire à maintenir la capacité résiduelle de gain de la recourante, ni n’apporte aucun élément médical allant dans ce sens. En l’absence d’une indication médicale à la poursuite des traitements en vue d’un maintien de la capacité résiduelle de gain et dans la mesure où ces traitements ne produisent pas particulièrement d’effet, leur poursuite n’est clairement pas justifiée dans le cadre de l’art. 21 al. 1 let. c LAA. e) Le cas ne tombe pas non plus sous le coup de la let. d de l'art. 21 al. 1 LAA, puisque cette disposition vise les bénéficiaires de rente entièrement invalides dont l'état de santé peut être amélioré ou tout au moins stabilisé grâce à des mesures médicales, même si cela reste sans influence sur leur capacité de gain (ATF 140 V 130 consid. 2.3 ; 124 V 52 consid. 4 ; TF 8C_655/2018 du 31 octobre 2019 consid. 7.3 et les références citées). Or, tel n’est pas le cas en l’occurrence puisque la recourante n’a pas été reconnue totalement invalide.</w:t>
      </w:r>
    </w:p>
    <w:p>
      <w:r>
        <w:t>- 13 - f) Au vu de ce qui précède, S.________ était fondée à refuser de prendre en charge les traitements médicaux de la recourante postérieurs au 9 décembre 2015.</w:t>
      </w:r>
    </w:p>
    <w:p>
      <w:r>
        <w:rPr>
          <w:b/>
        </w:rPr>
        <w:t>E. 4</w:t>
      </w:r>
    </w:p>
    <w:p>
      <w:r>
        <w:t>Les pièces au dossier permettent à la Cour de céans de statuer en toute connaissance de cause sans qu’il n’apparaisse nécessaire de solliciter la production du dossier de la recourante auprès de l’OAI ou de mettre en œuvre une expertise au sujet de la poursuite des traitements médicaux, que ce soit dans le cadre de la procédure de recours ou en renvoyant l’affaire à l’intimée à cet effet. Il se justifie par conséquent de renoncer à de telles mesures d’instruction par appréciation anticipée des preuves (ATF 145 I 167 consid. 4.1 ; 140 I 285 consid. 6.3.1 ; 130 II 425 consid. 2.1).</w:t>
      </w:r>
    </w:p>
    <w:p>
      <w:r>
        <w:rPr>
          <w:b/>
        </w:rPr>
        <w:t>E. 5</w:t>
      </w:r>
    </w:p>
    <w:p>
      <w:r>
        <w:t>a) Le recours doit par conséquent être rejeté et la décision sur opposition du 5 mars 2024 confirmée en tant qu’elle refuse la prise en charge du traitement médical après la fixation de la rente.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