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ZA24.009852 vom 6. September 2024</w:t>
      </w:r>
    </w:p>
    <w:p>
      <w:r>
        <w:t>VD Tribunal cantonal, 2024-09-06, FR</w:t>
      </w:r>
    </w:p>
    <w:p>
      <w:r>
        <w:rPr>
          <w:b/>
        </w:rPr>
        <w:t xml:space="preserve">Quelle: </w:t>
      </w:r>
      <w:r>
        <w:t>https://mcp.opencaselaw.ch/entscheid/vd_gerichte_ZA24.009852</w:t>
      </w:r>
    </w:p>
    <w:p>
      <w:r>
        <w:t>FR: VD_GERICHTE ZA24.009852 du 6 septembre 2024</w:t>
      </w:r>
    </w:p>
    <w:p>
      <w:r>
        <w:t>IT: VD_GERICHTE ZA24.009852 del 6 settembre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 recours doit être rejeté et la décision sur opposition attaquée confirmée. L’issue du recours rend sans objet les requêtes de l’intimée tendant à l’audition de la recourante et à celle du résident impliqué. b) Il n’y a pas lieu de percevoir de frais judiciaires (art. 61 let. fbis LPGA), ni d’allouer de dépens à la recourante, qui n’obtient pas gain de cause et a procédé sans mandataire qualifié (art. 61 let. g LPGA ; ATF 127 V 205 consid. 4b).</w:t>
      </w:r>
    </w:p>
    <w:p>
      <w:r>
        <w:t>- 9 - c) Quant à l’intimée, elle n’a pas non plus droit à des dépens, dès lors qu’elle a agi en qualité d’institution chargée de tâches de droit public (ATF 126 V 143 consid. 4 ; voir également ATF 128 V 323).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