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ZA24.007694 vom 8. Mai 2025</w:t>
      </w:r>
    </w:p>
    <w:p>
      <w:r>
        <w:t>VD Tribunal cantonal, 2025-05-08, FR</w:t>
      </w:r>
    </w:p>
    <w:p>
      <w:r>
        <w:rPr>
          <w:b/>
        </w:rPr>
        <w:t xml:space="preserve">Quelle: </w:t>
      </w:r>
      <w:r>
        <w:t>https://mcp.opencaselaw.ch/entscheid/vd_gerichte_ZA24.007694</w:t>
      </w:r>
    </w:p>
    <w:p>
      <w:r>
        <w:t>FR: VD_GERICHTE ZA24.007694 du 8 mai 2025</w:t>
      </w:r>
    </w:p>
    <w:p>
      <w:r>
        <w:t>IT: VD_GERICHTE ZA24.007694 del 8 maggio 2025</w:t>
      </w:r>
    </w:p>
    <w:p>
      <w:pPr>
        <w:pStyle w:val="Heading2"/>
      </w:pPr>
      <w:r>
        <w:t>Erwägungen</w:t>
      </w:r>
    </w:p>
    <w:p>
      <w:r>
        <w:rPr>
          <w:b/>
        </w:rPr>
        <w:t>E. 2</w:t>
      </w:r>
    </w:p>
    <w:p>
      <w:r>
        <w:t>Le litige a pour objet principal la question de savoir si le recourant peut prétendre à une rente d’invalidité de l’assurance-accidents.</w:t>
      </w:r>
    </w:p>
    <w:p>
      <w:r>
        <w:rPr>
          <w:b/>
        </w:rPr>
        <w:t>E. 3</w:t>
      </w:r>
    </w:p>
    <w:p>
      <w:r>
        <w:t>a) Aux termes de l’art. 6 al. 1 LAA, si la loi n’en dispose pas autrement, les prestations d’assurance sont allouées en cas d’accident professionnel, d’accident non professionnel et de maladie professionnelle.</w:t>
      </w:r>
    </w:p>
    <w:p>
      <w:r>
        <w:t>- 12 - Selon l’art. 4 LPGA, est réputé accident toute atteinte dommageable, soudaine et involontaire, portée au corps humain par une cause extérieure extraordinaire qui compromet la santé physique, mentale ou psychique ou qui entraîne la mort. b) Aux termes de l’art. 18 al. 1 LAA, si l’assuré est invalide à 10 % au moins par suite d’un accident, il a droit à une rente d’invalidité, pour autant que l’accident soit survenu avant l’âge ordinaire de la retraite (teneur en vigueur jusqu’au 31 décembre 2023, ici applicable).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w:t>
      </w:r>
    </w:p>
    <w:p>
      <w:r>
        <w:t>- 13 -</w:t>
      </w:r>
    </w:p>
    <w:p>
      <w:r>
        <w:rPr>
          <w:b/>
        </w:rPr>
        <w:t>E. 4</w:t>
      </w:r>
    </w:p>
    <w:p>
      <w:r>
        <w:t>a)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b)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129 V 402 consid. 2.2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3.1).</w:t>
      </w:r>
    </w:p>
    <w:p>
      <w:r>
        <w:t>- 14 -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citées).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 117 V 369 consid. 4 ; 115 V 133 consid. 6 ; 115 V 403 consid. 5). En présence de troubles psychiques apparus après un accident ou de troubles qui ne sont pas objectivables du point de vue organique, on examine les critères de la causalité adéquate en excluant les aspects psychiques (ATF 115 V 133 consid. 6c/aa ; 115 V 403 consid. 5c/aa ; TF 8C_867/2015 du 20 avril 2016 consid. 4.2 ; TF 8C_445/2013 du 27 mars 2014 consid. 4.3.1), tandis qu’en présence d’un traumatisme de type « coup du lapin » à la colonne cervicale, d’un traumatisme analogue à la colonne ou d’un traumatisme cranio-cérébral,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 115 V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w:t>
      </w:r>
    </w:p>
    <w:p>
      <w:r>
        <w:t>- 15 - clinique consécutif à un traumatisme de ce type (TFA U 96/00 du 12 octobre 2000 consid. 2b, in RAMA 2001 no U 412 p. 79 ; cf. également ATF 134 V 109 consid. 9.5 ; TF 8C_957/2008 du 1er mai 2009 consid. 4.2 ; TF 8C_124/2007 du 20 mai 2008 consid. 3.2 ; TF 8C_591/2007 du 14 mai 2008 consid. 3.1).</w:t>
      </w:r>
    </w:p>
    <w:p>
      <w:r>
        <w:rPr>
          <w:b/>
        </w:rPr>
        <w:t>E. 5</w:t>
      </w:r>
    </w:p>
    <w:p>
      <w:r>
        <w:t>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 125 V 351 consid. 3a ; TF 9C_168/2007 du 8 janvier 2008 consid. 4.2).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- 16 - bien son contenu (ATF 134 V 231 consid. 5.1 ; 125 V 351 consid. 3a et les références citées ; TF 8C_510/2020 du 15 avril 2021 consid. 2.4).</w:t>
      </w:r>
    </w:p>
    <w:p>
      <w:r>
        <w:rPr>
          <w:b/>
        </w:rPr>
        <w:t>E. 6</w:t>
      </w:r>
    </w:p>
    <w:p>
      <w:r>
        <w:t>a) En l’espèce, le recourant a été victime le 2 décembre 2020 d’un accident sur son lieu de travail – il s’est fait écraser le pied droit par un élévateur et a vu sa tempe droite être heurtée par un arceau de celui-ci – qui a causé une entorse du Lisfranc (avec une fracture métaphysaire proximale du second métatarsien et une contusion osseuse des rayons 3- 4-5) et une plaie au niveau de l’articulation temporo-mandibulaire (cf. notamment rapports du 15 décembre 2020 [IRM du pied droit] des Drs F.________ et R.________ ; du 10 février 2021 de la Dre X.________). b) Sur le plan orthopédique, la situation a évolué défavorablement avec, notamment, l’apparition d’un syndrome douloureux régional complexe. Il n’est pas contesté que le recourant présente des séquelles permanentes et qu’il n’est plus en mesure d’exercer son activité habituelle de manutentionnaire. Les différents médecins consultés (rapports du 16 juin 2023 du Dr H.________ ; du Dr T.________ [expertise [...] du 22 octobre 2024]) s’accordent néanmoins à retenir que le recourant dispose d’une pleine capacité de travail dans une activité adaptée à ses limitations fonctionnelles (pas de port de charges régulier de plus de 5 kg ; pas de marche prolongée ; pas de marche en terrain irrégulier ; pas de position accroupie ; pas de réalisation répétée d’escaliers ; pas de tâches nécessitant un bon équilibre). c) Dans les suites de son accident, le recourant a également très rapidement présenté des symptômes propres au tableau clinique typique d’un syndrome post-commotionnel avec, entre autres, des céphalées, des vertiges et des nausées (voir, à ce propos, le rapport du 10 décembre 2020 du Dr Q.________), ainsi que des douleurs cervicales (cf. rapport du 23 février 2021 de la Dre E.________). Si les symptômes post- commotionnels semblent s’être pour l’essentiel amendés, les céphalées et les douleurs cervicales ont perduré. Les examens radiographiques mis en œuvre afin de déterminer l’origine des douleurs n’ont pas permis d’établir un substrat organique aux plaintes (rapports du 14 décembre 2020 des</w:t>
      </w:r>
    </w:p>
    <w:p>
      <w:r>
        <w:t>- 17 - Drs I.________ et R.________ [IRM du cerveau] ; du 5 février 2021 de la Dre J.________ [radiographies de la colonne cervicale {face/profil/transbuccale/2 obliques}] ; du 23 août 2022 du Dr N.________ [IRM de la colonne cervicale]). Les différents neurologues qui se sont exprimés sur la situation du recourant ont estimé que la symptomatologie n’avait, en l’absence de traumatisme direct avéré, aucune cause organique (rapports du 2 juin 2023 de la Dre G.________ et du Dr A.________ [expertise [...] du 22 octobre 2024]). d) Sur les différentes atteintes précitées est venu se greffer un trouble de l’adaptation avec réaction anxio-dépressive et symptômes propres à un syndrome de stress post-traumatique (rapports du 10 février 2021 de la Dre O.________ ; du 27 mai 2021 de la [...] et du 23 juin 2022 du Dr Z.________). e) En l’absence d’éléments objectifs permettant d’expliquer autrement l’origine de la symptomatologie actuelle, il n’y a pas lieu de nier l’existence d’un rapport de causalité naturelle entre, d’une part, les troubles sans substrat organique et les troubles psychiques post- traumatiques dont souffre le recourant et, d’autre part, l'événement accidentel du 2 décembre 2020. Dans la mesure où le recourant a développé de manière précoce, en parallèle des céphalées et des douleurs cervicales, des problèmes d'ordre psychique, qui constituent une atteinte à la santé distincte indépendante du traumatisme initial, il convient d’appliquer les critères en cas de troubles psychiques consécutifs à un accident (cf. ATF 134 V 109 consid. 9.5). f) Compte tenu de ce qui précède, il n'y a pas lieu de donner suite à la mesure d’instruction requise par le recourant, à savoir la mise en œuvre d’une expertise pluridisciplinaire, puisque celle-ci apparaît superflue.</w:t>
      </w:r>
    </w:p>
    <w:p>
      <w:r>
        <w:rPr>
          <w:b/>
        </w:rPr>
        <w:t>E. 7</w:t>
      </w:r>
    </w:p>
    <w:p>
      <w:r>
        <w:t>Le caractère adéquat du lien de causalité entre la symptomatologie présentée par le recourant et l’accident du 2 décembre</w:t>
      </w:r>
    </w:p>
    <w:p>
      <w:r>
        <w:t>- 18 - 2020 doit être examiné à la lumière des critères jurisprudentiels posés aux ATF 115 V 133 et 403.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S’agissant d’un accident de gravité moyenne, il convient encore d’évaluer si d’autres circonstances objectives lui sont directement liées ou apparaissent comme des conséquences directes ou indirectes de celui-ci. De telles circonstances sont en effet elles-mêmes susceptibles, selon le cours ordinaire des choses et l’expérience générale de la vie, d’entraîner ou d’aggraver une incapacité de gain d’origine psychique en relation avec l’accident (ATF 115 V 133 consid. 6c/aa). Ainsi, la</w:t>
      </w:r>
    </w:p>
    <w:p>
      <w:r>
        <w:t>- 19 -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b) Tous ces critères ne doivent pas être réunis pour que la causalité adéquate soit admise (ATF 129 V 402 consid. 4.4.1 ; 115 V 133 consid. 6c/bb). De manière générale, lorsque l'on se trouve en présence d'un accident de gravité moyenne, il faut un cumul de trois critères sur les sept, ou au moins que l'un des critères retenus se soit manifesté de manière particulièrement marquante (TF 8C_600/2020 du 3 mai 2021 consid. 3.3 et la référence citée). Par ailleurs, un seul critère peut être suffisant pour admettre l'existence d'une relation de causalité adéquate lorsque l'accident considéré apparaît comme l'un des plus graves de la catégorie intermédiaire, à la limite de la catégorie des accidents graves (ATF 115 V 133 consid. 6c/bb). c) En l’occurrence, l’accident du 2 décembre 2020 doit, compte tenu de son déroulement, être qualifié de gravité moyenne stricto sensu. En effet, alors que le recourant sortait d’une caisse mobile sur son lieu de travail, un collègue est venu le heurter au niveau de l’articulation</w:t>
      </w:r>
    </w:p>
    <w:p>
      <w:r>
        <w:t>- 20 - temporo-mandibulaire droite, ce qui a entraîné sa chute. Malgré sa tentative de freiner l’engin, le collègue a ensuite écrasé le pied droit du recourant avec l’une des roues. Si le choc a été violent et inattendu, il n’a pas entraîné de lésions traumatiques qui ont nécessité une prise en charge médicale immédiate, ni de perte de connaissance. En outre, le choc au niveau de l’articulation temporo-mandibulaire n’a pas causé de fracture (cf. rapport du 10 décembre 2020 du Dr Q.________) mais uniquement une plaie avec une dermabrasion (cf. en particulier le rapport du 3 décembre 2020 de la Dre X.________). d) Reste à examiner si le recourant remplit suffisamment de critères posés par la jurisprudence pour que le caractère adéquat du lien de causalité puisse être admis. aa) 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8C_600/2020 précité consid. 4.2.3 et la référence citée). En l’occurrence, ce critère n'est pas réalisé. Si l’accident peut, de prime abord, sembler spectaculaire – le recourant a été heurté par un chariot élévateur de 2,5 tonnes, avant de voir son pied droit écrasé par l’une des roues de celui-ci –, il n’y a pas lieu d’admettre qu’il revêt un caractère particulièrement impressionnant et qu’il s’est déroulé dans des circonstances dramatiques. Au contraire, il s’est déroulé dans des</w:t>
      </w:r>
    </w:p>
    <w:p>
      <w:r>
        <w:t>- 21 - circonstances assez banales dans un lieu de travail où les activités humaines se mêlent aux déplacements d’engins. L’accident s’est de surcroît déroulé à une vitesse limitée, le recourant n’ayant d’ailleurs subi, hormis la fracture métaphysaire proximale du second métatarsien et une contusion osseuse des rayon 3-4-5 du pied droit, qu’une plaie au niveau de l’articulation temporo-mandibulaire.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cf. TF 8C_235/2020 du 15 février 2021 consid. 4.3.2 et les références citées). En l'occurrence, le recourant a été victime d’une atteinte à l’avant-pied droit, atteinte ne présentant pas une nature particulière et qui ne saurait être qualifiée objectivement de grave. Le seul fait que l’intéressé soit entravé par des limitations fonctionnelles – qui ne l’empêchent au demeurant pas d’être en mesure d’exercer une activité adaptée à temps plein sans diminution de rendement (cf. supra consid. 6b) – ne permet pas de retenir ce critère. cc) En ce qui concerne le critère de la durée anormalement longue du traitement médical, l'aspect temporel n'est pas seul décisif ;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consid. 5.3.1 et les références citées).</w:t>
      </w:r>
    </w:p>
    <w:p>
      <w:r>
        <w:t>- 22 - En l’occurrence, le recourant n’a subi aucune intervention chirurgicale, singulièrement aucune prise en charge médicale de longue durée en milieu hospitalier. Le traitement médical appliqué au recourant a consisté uniquement en des mesures conservatrices (immobilisation par plâtre, utilisation de cannes anglaises, chaussures orthopédiques, médicaments, séances de physiothérapie et balnéothérapie, utilisation d’un stimulateur TENS). Même en y ajoutant les deux courts séjours (30 mars au 11 mai 2021 et du 7 au 28 juin 2022), pour évaluation, que le recourant a accompli à la [...], ce critère ne saurait être admis. Il ressort par ailleurs des rapports des 27 mai 2021 et 26 juillet 2022 des médecins de cette clinique que des facteurs contextuels, dans le cadre d’un trouble de l’adaptation avec perturbation mixte des émotions et des conduites, ont influencé négativement les aptitudes fonctionnelles rapportées par le patient (kinésiophobie, catastrophisations, cotation élevée de la douleur, sous-estimation importante de ses propres capacités fonctionnelles, chez un patient qui reste centré sur la douleur). En ce sens, il convient de nier que la circonstance de la longue durée du traitement médical soit remplie. dd) S’agissant du critère des douleurs physiques persistantes, il y a lieu de préciser qu'il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En l’occurrence, il convient d’admettre que ce critère est réalisé, les douleurs dont se plaint le recourant au pied droit pouvant être mises en lien avec une atteinte objective présentant un rapport de causalité naturelle avec l’accident. Les douleurs ont persisté sans période d’atténuation. Encore aujourd’hui, le recourant se déplace uniquement avec une canne anglaise afin de décharger son pied droit et est empêché d’exercer ses tâches quotidiennes (cf. rapport d’expertise [...] du 22 octobre 2024, p. 13).</w:t>
      </w:r>
    </w:p>
    <w:p>
      <w:r>
        <w:t>- 23 - ee) En ce qui concerne les erreurs dans le traitement médical entraînant une aggravation notable des séquelles de l’accident, il n’y a pas lieu d’admettre ce critère, faute d’évocation précis d’éléments suscitant un doute quant au caractère adéquat de la prise en charge du recourant. ff) S’agissant des difficultés apparues au cours de la guérison et des complications importantes, il doit exister des motifs particuliers ayant entravé la guérison, et ce même s'il n'a pas été possible de supprimer les douleurs de l'intéressé, ni même de rétablir une capacité de travail entière (cf. TF 8C_613/2019 du 17 septembre 2020 consid. 6.4.3 ; TF 8C_249/2018 du 12 mars 2019 consid. 5.2.5 et les références citées). L'échec de certains traitements isolés et la persistance de certains troubles ne sont donc pas suffisants pour admettre des difficultés lors du processus de guérison. En l’occurrence, il y a lieu de reconnaître que le recourant, nonobstant la consolidation de la fracture métaphysaire proximale du second métatarsien, a été confronté à des complications particulières, sous la forme d’un syndrome régional douloureux complexe qui a empêché la récupération fonctionnelle du pied droit. gg) S'agissant pour finir du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(cf. TF 8C_762/2019 et 8C_763/2019 du 12 mars 2020 consid. 4.2.6 et la référence citée ; TF 8C_277/2019 du 22 janvier 2020 consid. 5.3). Ce critère est en principe admis en cas d’incapacité totale de travail de près de trois ans (TF 8C_600/2020 précité consid. 4.2.4 et les références citées). En l’occurrence, il ressort de l’examen médical réalisé le 16 juin 2023 par le Dr H.________ que la situation était stabilisée et que le</w:t>
      </w:r>
    </w:p>
    <w:p>
      <w:r>
        <w:t>- 24 - recourant était désormais en mesure d’exercer à plein temps une activité adaptée à ses limitations fonctionnelles. Il est vrai qu’il s’est écoulé plus de deux ans et demi avant que le recourant ait pu récupérer une capacité de travail complète (dans une activité adaptée), ce qui peut représenter une durée relativement longue. Cette durée s’explique néanmoins par l’apparition d’un syndrome douloureux régional complexe, lequel a ralenti le processus de récupération de la capacité de travail. e) Il s'ensuit que les troubles psychiques développés par le recourant ne se trouvent pas en relation de causalité adéquate avec l'accident assuré, seuls deux critères sur sept étant réalisés. Le droit à une éventuelle rente ne doit par conséquent être examiné qu’à la seule lumière des atteintes orthopédiques du recourant.</w:t>
      </w:r>
    </w:p>
    <w:p>
      <w:r>
        <w:rPr>
          <w:b/>
        </w:rPr>
        <w:t>E. 8</w:t>
      </w:r>
    </w:p>
    <w:p>
      <w:r>
        <w:t>En ce qui concerne la comparaison des revenus effectuée par l’intimée pour déterminer le taux d’invalidité du recourant, elle ne porte pas le flanc à la critique et doit être confirmée. En particulier, il n’y a pas lieu de procéder à un abattement sur le salaire statistique pris en considération pour fixer le revenu d’invalide supérieur à 5 %. En effet, la valeur statistique utilisée par l’intimée (ESS 2020, tableau TA1_skill_level, niveau de compétence 1) s’applique aux assurés qui conservent une capacité de travail dans des activités simples et répétitives et recouvre un large éventail d’activités variées et non qualifiées, ne requérant pas d’expérience professionnelle spécifique ni de formation professionnelle. Ces facteurs n’entrent ainsi pas en ligne de compte pour fixer un abattement supplémentaire en l’espèce (à cet égard, cf. TF 9C_458/2018 du 17 octobre 2018 consid. 4.1). De plus, l’âge du recourant ou le fait qu’il ne soit titulaire que d’un permis B ne sont pas susceptibles de réduire les perspectives salariales au regard de la nature des activités encore exigibles. D’ailleurs, à son arrivée en Suisse en 2018, en provenance de [...], il a immédiatement trouvé un emploi. Sa compréhension de la langue française est également très bonne. Ainsi, l’on ne saurait considérer qu’il puisse rencontrer des difficultés particulières à retrouver un emploi adapté à ses limitations fonctionnelles. C’est donc à juste titre que l’intimée a nié au recourant le droit à une rente d’invalidité.</w:t>
      </w:r>
    </w:p>
    <w:p>
      <w:r>
        <w:t>- 25 -</w:t>
      </w:r>
    </w:p>
    <w:p>
      <w:r>
        <w:rPr>
          <w:b/>
        </w:rPr>
        <w:t>E. 9</w:t>
      </w:r>
    </w:p>
    <w:p>
      <w:r>
        <w:t>Pour le reste, il n’y a pas lieu d’examiner plus avant la question du droit à l’indemnité pour atteinte à l’intégrité. En tant que le recourant conclut à l’octroi d’une indemnisation plus importante qui tienne compte des troubles cranio-cervicaux et des troubles psychologiques, la question est sans objet, les atteintes précitées n’étant pas en lien de causalité adéquate avec l’événement traumatique du 2 décembre 2020.</w:t>
      </w:r>
    </w:p>
    <w:p>
      <w:r>
        <w:rPr>
          <w:b/>
        </w:rPr>
        <w:t>E. 10</w:t>
      </w:r>
    </w:p>
    <w:p>
      <w:r>
        <w:t>a) Sur le vu de ce qui précède, le recours, mal fondé, doit être rejeté.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