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ZA23.044093 vom 19. Dezember 2025</w:t>
      </w:r>
    </w:p>
    <w:p>
      <w:r>
        <w:t>VD Tribunal cantonal, 2025-12-19, FR</w:t>
      </w:r>
    </w:p>
    <w:p>
      <w:r>
        <w:rPr>
          <w:b/>
        </w:rPr>
        <w:t xml:space="preserve">Quelle: </w:t>
      </w:r>
      <w:r>
        <w:t>https://mcp.opencaselaw.ch/entscheid/vd_gerichte_ZA23.044093</w:t>
      </w:r>
    </w:p>
    <w:p>
      <w:r>
        <w:t>FR: VD_GERICHTE ZA23.044093 du 19 décembre 2025</w:t>
      </w:r>
    </w:p>
    <w:p>
      <w:r>
        <w:t>IT: VD_GERICHTE ZA23.044093 del 19 dicembre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l’assurance-accidents en raison des atteintes à son épaule gauche ensuite de l’événement du 7 octobre 2022. Il s’agit plus particulièrement de déterminer si cette atteinte est d’origine accidentelle ou, à défaut, si elle constitue une lésion assimilée à un accident.</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w:t>
      </w:r>
    </w:p>
    <w:p>
      <w:r>
        <w:t>- 8 -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8C_605/2020 du</w:t>
      </w:r>
    </w:p>
    <w:p>
      <w:r>
        <w:rPr>
          <w:b/>
        </w:rPr>
        <w:t>E. 8</w:t>
      </w:r>
    </w:p>
    <w:p>
      <w:r>
        <w:t>a) En définitive, le recours doit être admis et la décision attaquée annulée, la cause étant renvoyée à l’intimée pour complément d’instruction dans le sens des considérants puis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