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ZA23.028234 vom 16. Mai 2024</w:t>
      </w:r>
    </w:p>
    <w:p>
      <w:r>
        <w:t>VD Tribunal cantonal, 2024-05-16, FR</w:t>
      </w:r>
    </w:p>
    <w:p>
      <w:r>
        <w:rPr>
          <w:b/>
        </w:rPr>
        <w:t xml:space="preserve">Quelle: </w:t>
      </w:r>
      <w:r>
        <w:t>https://mcp.opencaselaw.ch/entscheid/vd_gerichte_ZA23.028234</w:t>
      </w:r>
    </w:p>
    <w:p>
      <w:r>
        <w:t>FR: VD_GERICHTE ZA23.028234 du 16 mai 2024</w:t>
      </w:r>
    </w:p>
    <w:p>
      <w:r>
        <w:t>IT: VD_GERICHTE ZA23.028234 del 16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la prise en charge par l’intimée des suites de la lésion au poignet droit survenue le 12 février 2023.</w:t>
      </w:r>
    </w:p>
    <w:p>
      <w:r>
        <w:t>- 7 -</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w:t>
      </w:r>
    </w:p>
    <w:p>
      <w:r>
        <w:t>- 8 - Schweizerisches Bundesverwaltungsrecht [SBVR], Vol. XIV, 3e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 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 Frésard/Moser-Szeless, op. cit., n° 100 p. 925 s. ; Perrenoud, op. cit., n° 30 ad art. 4).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w:t>
      </w:r>
    </w:p>
    <w:p>
      <w:r>
        <w:t>- 9 - mètres à la piscine, a subi un choc en raison du mauvais positionnement de son corps lors de la pénétration dans l’eau (TFA U 17/02 du 10 décembre 2002 consid. 2 ; pour d’autres exemples : TF 8C_719/2019 précité consid. 3.2 ; TF 8C_410/2017 du 22 mars 2018 consid. 3.2 ; Frésard/Moser-Szeless, loc. cit. ; Perrenoud, loc. cit.).</w:t>
      </w:r>
    </w:p>
    <w:p>
      <w:r>
        <w:rPr>
          <w:b/>
        </w:rPr>
        <w:t>E. 4</w:t>
      </w:r>
    </w:p>
    <w:p>
      <w:r>
        <w:t>En l’occurrence, l’assuré s’est blessé au poignet droit alors qu’il pratiquait un exercice d’échauffement d’unihockey. Il a expliqué qu’en raison d’une balle qui arrivait en direction de ses pieds, il avait été déséquilibré et avait mis plus de poids que d’habitude sur son poignet au moment de tirer en direction du but. Si, comme le précise le recourant, l’exercice qu’il était en train d’effectuer n’impliquait pas, en tant que tel, la présence d’autres balles que celle qu’il devait frapper, il n’apparaît pas inhabituel ni exceptionnel que des balles puissent circuler sur le terrain lors la phase d’échauffement précédant une journée de championnat d’unihockey, pendant laquelle plusieurs équipes, ou à tout le moins plusieurs joueurs s’échauffent. De même, un déséquilibre ne constitue pas un facteur extraordinaire lors d’un échauffement en vue d’un match d’unihockey. Le fait de devoir éviter une balle comme en l’occurrence, ou un autre joueur par exemple, et, de ce fait, de se retrouver en déséquilibre est même plutôt courant dans la pratique d’un sport tel que l’unihockey. Il convient à cet égard de suivre l’avis de F.________, selon lequel l’unihockey est un sport dans lequel des déséquilibres peuvent survenir et rendre nécessaires des mouvements de rattrapage, qui s’inscrivent dans la palette de ceux inhérents à ce sport. Quant au mouvement impliqué par le déséquilibre, il ne consiste pas en un mouvement non coordonné qui aurait été influencé par un facteur extérieur, puisque le recourant indique uniquement avoir mis plus de poids que d’habitude sur son poignet lors du tir.</w:t>
      </w:r>
    </w:p>
    <w:p>
      <w:r>
        <w:t>- 10 - C’est par conséquent à juste titre que F.________ a nié l’existence d’un facteur extérieur extraordinaire lors de l’événement du 12 février 2023 et, partant, l’existence d’un accident.</w:t>
      </w:r>
    </w:p>
    <w:p>
      <w:r>
        <w:rPr>
          <w:b/>
        </w:rPr>
        <w:t>E. 5</w:t>
      </w:r>
    </w:p>
    <w:p>
      <w:r>
        <w:t>a) En l’absence d’un accident au sens de l’art. 4 LPGA, il y a lieu d’examiner si les lésions subies ne constitueraient pas des lésions assimilées à un accident au sens de l’art. 6 al. 2 LAA (ATF 146 V 51 consid. 9.1 ; TF 8C_459/2019 du 11 septembre 2020 consid. 5.1). b) Aux termes de l’art. 6 al. 2 let. d à g LAA, l’assurance- accidents alloue ses prestations en cas de déchirures de muscles, d’élongations de muscles, de déchirures de tendons et de lésions de ligaments,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w:t>
      </w:r>
    </w:p>
    <w:p>
      <w:r>
        <w:rPr>
          <w:b/>
        </w:rPr>
        <w:t>E. 6</w:t>
      </w:r>
    </w:p>
    <w:p>
      <w:r>
        <w:t>a) En l’occurrence, il n’est pas contesté qu’il n’y a pas eu de fracture, dans la mesure où la radiographie réalisée le 13 février 2023 n’a pas montré de lésion osseuse post-traumatique. Le recourant est d’avis qu’il existe en revanche une lésion musculaire, ligamentaire ou tendineuse selon les rapports des Drs Q.________ et L.________. Il estime qu’il y a lieu d’écarter les prises de position du Dr G.________ dans la mesure où celui-ci s’est déterminé sans l’avoir examiné. Le médecin-conseil pouvait toutefois se prononcer valablement sur l’existence ou non d’une lésion assimilée à un accident sur la base des rapports des Drs Q.________ et L.________ ainsi que de ses connaissances médicales et assécurologiques. Il n’apparaît pas nécessaire, dans ce contexte, de procéder à un examen clinique du</w:t>
      </w:r>
    </w:p>
    <w:p>
      <w:r>
        <w:t>- 11 - recourant, dans la mesure où il s’agit de déterminer si les lésions constatées correspondent à l’une des hypothèses de l’art. 6 al. 2 LAA. b) Dans son rapport du 24 février 2023, le Dr Q.________ a retenu le diagnostic de contusion du poignet droit. Il a noté que, selon les indications du patient, il n’y avait pas eu de choc direct au poignet, mais une inclinaison cubitale forcée sur un arrêt brutal de la crosse. Son examen clinique a montré une douleur sur le styloïde cubitale, sans hématome, avec un discret empattement, un fond algique en extension et inclinaison cubitale, ainsi qu’une absence de paresthésie. Le Dr Q.________ a précisé qu’il n’y avait pas de lésion osseuse visible sur la radiographie réalisée. Il n’est pas possible, sur la base du diagnostic de contusion du poignet et des éléments précités, de retenir l’existence d’une lésion assimilée au sens de l’art. 6 al. 2 LAA. Le Dr G.________ a en effet confirmé que la contusion du poignet droit (styloïde cubitale) ne représentait pas une lésion assimilée à un accident (prises de position des 7 mars et 22 août 2023). En outre, contrairement à ce que soutient le recourant, on ne voit pas, dans ce rapport, de mention d’une éventuelle lésion ligamentaire ou musculaire. A cet égard, c’est à juste titre que F.________ a précisé qu’une contusion ne constitue pas une lésion ligamentaire, tendineuse ou musculaire. c) Dans son rapport du 15 mars 2023, la Dre L.________ a posé le diagnostic d’entorse du poignet droit touchant les fléchisseurs ulnaires. Le Dr G.________ a précisé que ce diagnostic ne constituait pas non plus une lésion assimilée à un accident, dans sa prise de position du 22 août 2023. d) A l’appui de son opposition et de son recours, l’assuré a produit une prescription de physiothérapie du 23 février 2023, dans laquelle la Dre L.________ a mentionné l’existence d’une lésion du tendon ulnaire du carpe. Dans sa prise de position du 22 août 2023, le Dr G.________ relève qu’il n’est pas précisé s’il s’agit du tendon fléchisseur ou extenseur. Si l’on tient compte du rapport précité de la Dre L.________, il apparaît qu’il s’agit du tendon ulnaire fléchisseur. Cette précision reste</w:t>
      </w:r>
    </w:p>
    <w:p>
      <w:r>
        <w:t>- 12 - cependant sans importance sur la question de l’existence d’une lésion assimilée au sens de l’art. 6 al. 2 LAA. Il faut en effet rappeler que cette disposition mentionne que les déchirures de tendons constituent des lésions corporelles assimilées à un accident. La jurisprudence a précisé que l'obligation de l'assureur-accidents de prendre en charge les suites d'une lésion corporelle au sens de l'art. 6 al. 2 let. f 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p. 306 ; TF 8C_763/2015 du</w:t>
      </w:r>
    </w:p>
    <w:p>
      <w:r>
        <w:rPr>
          <w:b/>
        </w:rPr>
        <w:t>E. 11</w:t>
      </w:r>
    </w:p>
    <w:p>
      <w:r>
        <w:t>juillet 2016 consid. 4.3). Contrairement à ce que retient le recourant, F.________ n’a pas fait fi du diagnostic posé par la Dre L.________, mais a, sur la base de la jurisprudence précitée et de l’avis du Dr G.________, constaté qu’une déchirure de tendon n’avait pas été mise en évidence en l’espèce. Quant à l’existence d’une lésion du tendon, elle ne suffit pas à constituer une lésion corporelle au sens de l’art. 6 al. 2 LAA. e) Dans sa prise de position du 22 août 2023, le Dr G.________ a encore précisé qu’une lésion tendineuse ne reflétait pas, dans l’écrasante majorité des cas – hormis certains traumatismes exceptionnels à haute ou très haute énergie –, une élongation musculaire, encore moins une déchirure musculaire concomitante. Enfin, il a indiqué qu’aucun de ces deux diagnostics (élongation musculaire ou déchirure musculaire) n’avait été formellement caractérisé en l’espèce, que ce soit sur le plan clinique ou radiologique.</w:t>
      </w:r>
    </w:p>
    <w:p>
      <w:r>
        <w:t>- 13 - f) Le recourant relève encore qu’on ne peut exclure toute lésion ligamentaire ou musculaire dès lors que les ligaments et les muscles ne sont pas visibles sur la radiographie réalisée. Il n’en demeure pas moins qu’une telle lésion aurait dû, pour être considérée comme vraisemblable, être évoquée par les médecins traitants à la suite de leur examen clinique, étant par ailleurs précisé qu’ils auraient très probablement procédé à des imageries complémentaires s’ils soupçonnaient une telle atteinte. g) Finalement, il convient de donner raison à F.________ en tant qu’elle retient que la persistance de douleurs ne permet pas de conclure à l’existence d’une lésion en particulier, le diagnostic se faisant sur la base de constatations médicales objectives. La persistance de douleurs ne peut dès lors être considérée comme un indice, et encore moins la preuve, d’une lésion au sens de l’art. 6 al. 2 LAA. Il en va de même du traitement par attelle, associé aux antalgiques et anti-inflammatoires. h) Il résulte de ce qui précède qu’il n’est pas possible de retenir en l’espèce l’existence d’une lésion corporelle au sens de l’art. 6 al. 2 LAA. 7. a) Le recours doit par conséquent être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