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ZA23.021784 vom 6. Februar 2025</w:t>
      </w:r>
    </w:p>
    <w:p>
      <w:r>
        <w:t>VD Tribunal cantonal, 2025-02-06, FR</w:t>
      </w:r>
    </w:p>
    <w:p>
      <w:r>
        <w:rPr>
          <w:b/>
        </w:rPr>
        <w:t xml:space="preserve">Quelle: </w:t>
      </w:r>
      <w:r>
        <w:t>https://mcp.opencaselaw.ch/entscheid/vd_gerichte_ZA23.021784</w:t>
      </w:r>
    </w:p>
    <w:p>
      <w:r>
        <w:t>FR: VD_GERICHTE ZA23.021784 du 6 février 2025</w:t>
      </w:r>
    </w:p>
    <w:p>
      <w:r>
        <w:t>IT: VD_GERICHTE ZA23.021784 del 6 febbraio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w:t>
      </w:r>
    </w:p>
    <w:p>
      <w:r>
        <w:t>- 11 - c) Vu la valeur litigieuse inférieure à 30'000 fr., la cause est de la compétence du juge unique (art. 94 al. 1 let. a LPA-VD).</w:t>
      </w:r>
    </w:p>
    <w:p>
      <w:r>
        <w:rPr>
          <w:b/>
        </w:rPr>
        <w:t>E. 2</w:t>
      </w:r>
    </w:p>
    <w:p>
      <w:r>
        <w:t>Le litige porte sur le point de savoir si la recourante peut prétendre à la révision de la décision du 23 mai 2017, entrée en force, singulièrement si S.________SA était fondée à refuser la prise en charge du traitement des lésions dentaires de la dent 11 (cf. factures de 171 fr., 214 fr. 20, 917 fr. 60, 634 fr. 55, 112 fr. 85, 406 fr. 80 et traitements devisés à 279 fr. et 3'400 fr.), faute de relation de causalité naturelle et adéquate entre ces lésions et l’événement du 28 janvier 2017.</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w:t>
      </w:r>
    </w:p>
    <w:p>
      <w:r>
        <w:t>- 12 -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 post hoc ergo propter hoc »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w:t>
      </w:r>
    </w:p>
    <w:p>
      <w:r>
        <w:rPr>
          <w:b/>
        </w:rPr>
        <w:t>E. 3.2</w:t>
      </w:r>
    </w:p>
    <w:p>
      <w:r>
        <w:t>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w:t>
      </w:r>
    </w:p>
    <w:p>
      <w:r>
        <w:t>- 13 -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c/aa)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bb) Le juge peut accorder valeur probante aux rapports et expertises établis par les médecins des assurances aussi longtemps que ceux-ci aboutissent à des résultats convaincants, que leurs conclusions</w:t>
      </w:r>
    </w:p>
    <w:p>
      <w:r>
        <w:t>- 14 -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 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et 4.7; voir aussi l'arrêt 8C_796/2016 du 14 juin 2017 consid. 3.3).</w:t>
      </w:r>
    </w:p>
    <w:p>
      <w:r>
        <w:rPr>
          <w:b/>
        </w:rPr>
        <w:t>E. 4</w:t>
      </w:r>
    </w:p>
    <w:p>
      <w:r>
        <w:t>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 123 al. 2 let. a LTF (qui correspond à l’ancien art. 137 let. b OJ et auquel s’applique la jurisprudence rendue à propos de cette norme, cf. ATF 144 V 245 consid. 5.1). La révision suppose ainsi la réalisation de cinq conditions : 1° le requérant invoque un ou des faits ; 2° ce ou ces faits sont « pertinents », dans le sens d’importants (« erhebliche »), c’est-à-dire qu’ils sont de</w:t>
      </w:r>
    </w:p>
    <w:p>
      <w:r>
        <w:t>- 15 - nature à modifier l’état de fait qui est à la base du jugement et à conduire à un jugement différent en fonction d’une appréciation juridique correcte ; 3° ces faits existaient déjà lorsque le jugement a été rendu: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(ATF 143 III 272 consid. 2.2 et les références). Quant aux preuves concluantes, elles supposent en bref aussi la réunion de cinq conditions: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(ATF 127 V 353 consid. 5b p. 358 et les références ; TF 8C_687/2017 du 24 octobre 2018 consid. 3).</w:t>
      </w:r>
    </w:p>
    <w:p>
      <w:r>
        <w:t>- 16 - b) L’assureur peut revenir sur les décisions ou les décisions sur opposition formellement passées en force lorsqu’elles sont manifestement erronées et que leur rectification revêt une importance notable (art. 53 al. 2 LPGA).</w:t>
      </w:r>
    </w:p>
    <w:p>
      <w:r>
        <w:rPr>
          <w:b/>
        </w:rPr>
        <w:t>E. 5</w:t>
      </w:r>
    </w:p>
    <w:p>
      <w:r>
        <w:t>a) En l’occurrence, l’intimée est entrée en matière sur la demande de révision du 18 décembre 2020, quand bien même la recourante n’y a fait état d’aucun moyen de preuve ni faits nouveaux importants qui ne pouvaient pas être produits auparavant. Dans le rapport du 4 septembre 2020 de la Dre G.________, joint à la demande de révision du 18 décembre 2020, il est en effet fait état d’une patiente vue pour la première fois en 2018, soit postérieurement à la décision du 23 mai 2017. Les faits que cette médecin relate n’étaient donc pas connus au moment où l’intimée a rendu sa décision et ne constituent ainsi pas des faits nouveaux au sens de l’art. 53 al. 1 LPGA. b) Par ailleurs, les avis médicaux dont se prévaut la recourante ne font pas apparaître la décision du 23 mai 2017 comme manifestement erronée au sens de l’art. 53 al. 2 LPGA. c) Il apparaît ainsi que les conditions d’une révision (procédurale) de la décision du 23 mai 2017, entrée en force, n’étaient, au moment de la demande, pas remplies. Quoi qu’il en soit, dans la mesure où l’intimée est entrée en matière sur cette demande et qu’elle a rendu une nouvelle décision le 4 mai 2022, confirmée sur opposition le 18 avril 2023, il y a lieu d’examiner si l’intimée était fondée à refuser la prise en charge des traitements facturés et devisés dans la procédure initiée en décembre 2020.</w:t>
      </w:r>
    </w:p>
    <w:p>
      <w:r>
        <w:rPr>
          <w:b/>
        </w:rPr>
        <w:t>E. 6</w:t>
      </w:r>
    </w:p>
    <w:p>
      <w:r>
        <w:t>a) En l’occurrence, il est constant que l’intimée a admis, en janvier 2017, que la recourante avait été victime d’un accident au sens de l’art. 4 LPGA. Ce point n’a pas à être réexaminé à ce stade. L’intimée a toutefois, par décision du 23 mai 2017 entrée en force, refusé de prester,</w:t>
      </w:r>
    </w:p>
    <w:p>
      <w:r>
        <w:t>- 17 - au motif que la relation de causalité entre les dégâts constatés sur la dent</w:t>
      </w:r>
    </w:p>
    <w:p>
      <w:r>
        <w:rPr>
          <w:b/>
        </w:rPr>
        <w:t>E. 11</w:t>
      </w:r>
    </w:p>
    <w:p>
      <w:r>
        <w:t>et le traumatisme de 2017 était exclue. L’avis de la Dre G.________, qui a quelque peu varié au fil des années et qui repose sur des rapports peu motivés, ne permet ainsi pas de remettre en doute l’appréciation des médecins-dentistes-conseils de l’intimée. Quant au Dr M.________, il s’est contenté d’établir un devis, le 28 mai 2021, dont on ne peut rien déduire s’agissant de la nature, post-</w:t>
      </w:r>
    </w:p>
    <w:p>
      <w:r>
        <w:t>- 21 - traumatique ou non, des atteintes de la dent 11 de la recourante. Son appréciation doit donc d’emblée être écartée. e) En définitive, l’intimée était fondée, sur la base des avis concordants et probants des Drs E.________, V.________ et H.________, à retenir que la lésion de la dent 11 de la recourante et les complications qui s’en sont suivies en 2018, n’étaient pas en relation de causalité avec l’accident du 28 janvier 2017. C’est donc à bon droit qu’elle a refusé toute prise en charge des frais de traitements intervenus postérieurement à cet évènement. 7. a) Compte tenu de ce qui précède, le recours doit être rejeté et la décision entreprise confirmée. b) Il n’y a pas lieu de percevoir de frais judiciaires (art. 61 let. fbis LPGA), ni d’allouer de dépens à la recourante, qui n’obtient pas gain de cause (art. 61 let. g LPGA). c) La recourante est au bénéfice de l’assistance judiciaire et s’est vu désigner un conseil d’office par décision du 24 juillet 2023. Me Métille peut ainsi prétendre une équitable indemnité pour son mandat d’office. Cette indemnité doit être fixée eu égard aux opérations nécessaires pour la conduite du procès, et en considération de l'importance de la cause, de ses difficultés, de l'ampleur du travail et du temps consacré par le conseil juridique commis d'office (cf. art. 2 al. 1 RAJ). En l’espèce, selon la liste des opérations datée du 14 octobre 2024, Me Métille a chiffré à 14 heures et 5 minutes le temps consacré au dossier de la recourante, soit 13 heures et 20 minutes au tarif d’avocat et 45 minutes au tarif d’avocat-stagiaire. Or, si les opérations futures comptabilisées à titre indicatif en date du 14 mars 2025, à hauteur de 1 heure et 15 minutes, peuvent être acceptées, les opérations postérieures ne sauraient être retenues. Les opérations admises couvrent en effet, en sus de l’examen du présent arrêt, un entretien téléphonique et un courriel à l’assuré. Les courriels subséquents ne se justifient pas, tout comme le courrier à S.________SA dont l’objet est le paiement des dépens. A cet</w:t>
      </w:r>
    </w:p>
    <w:p>
      <w:r>
        <w:t>- 22 - égard, il convient de retrancher 40 minutes. En outre, il y a lieu de retrancher le temps consacré à l’envoi de la liste d’opérations, par 20 minutes, le 14 octobre 2024 (JdT 2017 III 59 ; CASSO AI 295/22 - 233/2023 du 28 août 2023). Le temps dévolu à l’opération « reprise et finalisation projet, bordereau et envoi » du 9 juillet 2024, soit 30 minutes, doit également être retranché, dans la mesure où une durée de 2h45 a déjà été comptabilisée pour la rédaction de la réplique, ce qui est largement suffisant compte tenu de la complexité relative du litige. Partant, le temps admis s’élève à 11 heures et 50 minutes pour les opérations réalisées par Me Métille et à 45 minutes pour celles réalisées par l’avocat-stagiaire, ce qui est conséquent dans la mesure où l’avocat d’office s’est limité au dépôt d’une réplique. Ces opérations seront indemnisées à hauteur de 2'130 fr. et 82 fr. 50 ([11h50 x 180] + [45 min. x 110]). Il convient encore d’appliquer le forfait de 5 % du défraiement hors taxe, soit 110 fr. 60 ([11h50 x 180] + [45 min. x 110] x 5%) (art. 3bis al. 1 RAJ [règlement cantonal du 7 décembre 2010 sur l’assistance judiciaire en matière civile ; BLV 211.02.3]). A cela s’ajoute la TVA par 178 fr. 55 ([27 fr. 50 x 7.7%] + [55 fr. x 8,1%] + [135 fr. x 7,7%] + [1’995 fr. x. 8,1%]). En définitive, l’indemnité de Me Métille est arrêtée à 2'501 fr. 65 (2'130 fr. + 82 fr. 50 + 110 fr. 60 + 178 fr. 55), débours et TVA compris. La rémunération de l’avocat d’office est provisoirement assumée par le canton (art. 122 al. 1 let. a CPC, applicable par renvoi de l’art. 18 al. 5 LPA-VD). La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w:t>
      </w:r>
    </w:p>
    <w:p>
      <w:r>
        <w:t>- 23 - la juge unique p r o n o n c e : I. Le recours est rejeté. II. La décision rendue le 18 avril 2023 par S.________SA est confirmée. III. Il n’est pas perçu de frais judiciaires, ni alloué de dépens. IV. L’indemnité d’office de Me David Métille, conseil de la recourante, est arrêtée à 2'501 fr. 65 (deux mille cinq cent un francs et soixante-cinq centimes), débours et TVA compris. V. La bénéficiaire de l'assistance judiciaire est, dans la mesure de l'art. 123 CPC, applicable par renvoi de l'art. 18 al. 5 LPA-VD, tenue au remboursement de l'indemnité du conseil d'office mise provisoirement à la charge de l'Etat. La juge unique : La greffière : Du L'arrêt qui précède est notifié à : - Me David Métille (pour la recourante), - S.________SAA, - Office fédéral de la santé publique,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