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ZA23.001876 vom 26. April 2023</w:t>
      </w:r>
    </w:p>
    <w:p>
      <w:r>
        <w:t>VD Tribunal cantonal, 2023-04-26, FR</w:t>
      </w:r>
    </w:p>
    <w:p>
      <w:r>
        <w:rPr>
          <w:b/>
        </w:rPr>
        <w:t xml:space="preserve">Quelle: </w:t>
      </w:r>
      <w:r>
        <w:t>https://mcp.opencaselaw.ch/entscheid/vd_gerichte_ZA23.001876</w:t>
      </w:r>
    </w:p>
    <w:p>
      <w:r>
        <w:t>FR: VD_GERICHTE ZA23.001876 du 26 avril 2023</w:t>
      </w:r>
    </w:p>
    <w:p>
      <w:r>
        <w:t>IT: VD_GERICHTE ZA23.001876 del 26 aprile 2023</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b) Selon la jurisprudence, l’assuré qui, faute de consensus, entend contester la mise en œuvre d’une expertise médicale satisfait en</w:t>
      </w:r>
    </w:p>
    <w:p>
      <w:r>
        <w:t>- 10 - principe aux conditions de l’intérêt digne de protection et du préjudice irréparable nécessaires pour pouvoir déférer l’affaire auprès du tribunal des assurances sociales compétent pour en connaître (ATF 139 V 339 consid. 4.4 ; 138 V 271 consid. 1 et 137 V 210 consid. 3.4.2.6 et 3.4.2.7). Tel est le cas en l’occurrence. Pour le reste, le recours a été déposé en temps utile auprès du tribunal compétent et respecte pour le surplus les formalités prévues par la loi (art. 61 let. b LPGA), de sorte qu’il est recevable.</w:t>
      </w:r>
    </w:p>
    <w:p>
      <w:r>
        <w:rPr>
          <w:b/>
        </w:rPr>
        <w:t>E. 2</w:t>
      </w:r>
    </w:p>
    <w:p>
      <w:r>
        <w:t>Le litige a pour objet la désignation du Centre W.________, singulièrement la désignation des Drs N.________, J.________ et K.________, pour la réalisation d’une expertise pluridisciplinaire sur la personne du recourant.</w:t>
      </w:r>
    </w:p>
    <w:p>
      <w:r>
        <w:rPr>
          <w:b/>
        </w:rPr>
        <w:t>E. 3</w:t>
      </w:r>
    </w:p>
    <w:p>
      <w:r>
        <w:t>a) L’art. 43 al. 1 LPGA dispose que l’assureur examine les demandes, prend d’office les mesures d’instruction nécessaires et recueille les renseignements dont il a besoin. Les renseignements donnés oralement doivent être consignés par écrit. b) A teneur de l’art. 44 al. 1 LPGA, si l’assureur juge une expertise nécessaire dans le cadre de mesures d’instruction médicale, il en fixe le type selon les exigences requises ; trois types sont possibles: expertise monodisciplinaire (let. a), expertise bidisciplinaire (let. b) et expertise pluridisciplinaire (let. c). Si l’assureur doit recourir aux services d’un ou de plusieurs experts indépendants pour élucider les faits dans le cadre d’une expertise, il communique leur nom aux parties ; les parties peuvent récuser les experts pour les motifs indiqués à l’art. 36 al. 1 LPGA et présenter des contre-propositions dans un délai de dix jours (al. 2). Si, malgré la demande de récusation, l’assureur maintient son choix du ou des experts pressentis, il en avise les parties par une décision incidente (al. 4). Les art. 7j ss OPGA (ordonnance fédérale du 11 septembre 2002 sur la partie générale du droit des assurances sociales ; RS 830.11) précisent, quant à eux, l’art. 44 LPGA dans sa teneur depuis le 1er janvier 2022 (RO 2021 706). Ainsi, l’art. 7j al. 1 OPGA prévoit que si une partie</w:t>
      </w:r>
    </w:p>
    <w:p>
      <w:r>
        <w:t>- 11 - récuse un expert en vertu de l’art. 44 al. 2 LPGA, l’assureur doit examiner les motifs de récusation ; en l’absence de motif de récusation, les parties tentent de trouver un consensus. Selon l’alinéa 2, la recherche de consensus peut être effectuée par oral ou par écrit et doit être consignée dans les dossiers. Si un mandat d’expertise est attribué de manière aléatoire, il n’y a pas lieu de rechercher un consensus (al. 3). c) Le droit d’être entendu, tel qu’il est garanti par l’art. 29 al. 2 Cst., comprend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w:t>
      </w:r>
    </w:p>
    <w:p>
      <w:r>
        <w:rPr>
          <w:b/>
        </w:rPr>
        <w:t>E. 7</w:t>
      </w:r>
    </w:p>
    <w:p>
      <w:r>
        <w:t>a) Il n’y a pas lieu de percevoir de frais judiciaires (art. 61 let. fbis LPGA). En effet, dans la mesure où le litige relève de l’assurance- accidents, la procédure relative à un incident doit être gratuite (ATF 133 V 441 ; TF 9C_905/2007 du 15 avril 2008 ; cf. également JEAN MÉTRAL, in Dupont/Moser-Szeless [édit.], Loi sur la partie générale des assurances sociales, Commentaire romand, Bâle 2018, n. 21 ad art. 61 LPGA, p. 732).</w:t>
      </w:r>
    </w:p>
    <w:p>
      <w:r>
        <w:t>- 17 - b) Il n’y a par ailleurs pas lieu d’allouer de dépens à la partie recourante, qui n’obtient pas gain de cause (art. 61 let. g LPGA a contrario). c) La partie recourante est au bénéfice de l’assistance judiciaire et Me Duc peut prétendre une équitable indemnité pour son mandat d’office, qu’il convient de fixer à 1’034 fr. 75, débours et TVA compris (art. 2, 3 al. 2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