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ZA22.050964 vom 6. Februar 2024</w:t>
      </w:r>
    </w:p>
    <w:p>
      <w:r>
        <w:t>VD Tribunal cantonal, 2024-02-06, FR</w:t>
      </w:r>
    </w:p>
    <w:p>
      <w:r>
        <w:rPr>
          <w:b/>
        </w:rPr>
        <w:t xml:space="preserve">Quelle: </w:t>
      </w:r>
      <w:r>
        <w:t>https://mcp.opencaselaw.ch/entscheid/vd_gerichte_ZA22.050964</w:t>
      </w:r>
    </w:p>
    <w:p>
      <w:r>
        <w:t>FR: VD_GERICHTE ZA22.050964 du 6 février 2024</w:t>
      </w:r>
    </w:p>
    <w:p>
      <w:r>
        <w:t>IT: VD_GERICHTE ZA22.050964 del 6 febbraio 2024</w:t>
      </w:r>
    </w:p>
    <w:p>
      <w:pPr>
        <w:pStyle w:val="Heading2"/>
      </w:pPr>
      <w:r>
        <w:t>Erwägungen</w:t>
      </w:r>
    </w:p>
    <w:p>
      <w:r>
        <w:rPr>
          <w:b/>
        </w:rPr>
        <w:t>E. 15</w:t>
      </w:r>
    </w:p>
    <w:p>
      <w:r>
        <w:t>kg, à hauteur de hanche. A hauteur d’épaules et au-dessus, le soulèvement des charges devrait être limité à 5 kg. La position du corps devrait pouvoir être changée fréquemment. Si la position assise est une bonne position que l’assurée peut garder pendant deux heures, cette position devient fortement limitée si elle est associée à un travail de bureau, et plus particulièrement à l’ordinateur, provoquant une légère flexion de la colonne cervicale. Les trajets à pied ne sont pratiquement pas limités. Par contre, l’assurée doit absolument éviter de faire de façon répétée la montée et la descente des escaliers. La position debout statique ne doit pas être la position de base pour l’assurée. Il s’agit d’une position qu’elle peut maintenir durant 15 minutes, mais elle doit pouvoir bouger après ». Les experts ont par ailleurs évalué l’atteinte à l’intégrité à</w:t>
      </w:r>
    </w:p>
    <w:p>
      <w:r>
        <w:rPr>
          <w:b/>
        </w:rPr>
        <w:t>E. 20</w:t>
      </w:r>
    </w:p>
    <w:p>
      <w:r>
        <w:t>al. 1 LAA). Si l’assuré a, comme en l’espèce, également droit à une rente de l’assurance-invalidité, une rente complémentaire lui est allouée. Celle- ci correspond, en dérogation à l’art. 69 LPGA, à la différence entre le 90 % du gain assuré et la rente de l’assurance-invalidité, mais au plus au montant prévu pour l’invalidité totale ou partielle (art. 20 al. 2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 TF 8C_837/2019 du 16 septembre 2020 consid. 5.2).</w:t>
      </w:r>
    </w:p>
    <w:p>
      <w:r>
        <w:t>- 19 - Lorsque le droit à la rente naît plus de cinq ans après l’accident, le salaire déterminant est celui que l’assuré aurait reçu pendant l’année qui précède l’ouverture du droit à la rente, s’il n’avait pas été victime de l’accident, à condition toutefois que ce salaire soit plus élevé que celui qu’il touchait juste avant la survenance de l’accident (art. 24 al. 2 OLAA [ordonnance du 20 décembre 1982 sur l’assurance-accidents ; RS 832.202]). L’adaptation du gain assuré doit prendre en compte les données statistiques de l’évolution des salaires nominaux dans le domaine d’activité antérieur (TF 8C_316/2010 du 6 août 2010 consid. 4.3.3). d) En ce qui concerne le droit à la rente d’invalidité, l’argumentation de la recourante repose exclusivement sur la prémisse erronée (faute de lien de causalité adéquate, cf. supra consid. 3) que l’intimée aurait dû tenir compte des atteintes psychiques et neuropsychologiques pour le calcul du degré d’invalidité Manifestement mal fondé, ce grief doit être rejeté, et le taux d’invalidité de 44 %, tenant compte d’une activité de case manager à plein temps compatible avec les affections au niveau de la hanche et du genou droits, ainsi que la rente mensuelle de 3'480 fr. allouée dès le 1er juillet 2020 doivent être confirmés. 5. a) La recourante reproche également à l’intimée une estimation incorrecte de l’indemnité pour atteinte à l’intégrité à laquelle elle a droit en soutenant que l’évaluation d’une indemnité pour l’atteinte à l’intégrité de 20 %, soit la somme de 25'200 fr., n’est pas en adéquation avec la gravité des atteintes subies. Elle prétend à une indemnité pour atteinte à l’intégrité d’au moins 55 % correspondant à un montant de 69'300 francs. b) Selon l’art. 24 al. 1 LAA, l’assuré qui, par suite de l’accident, souffre d’une atteinte importante et durable à son intégrité physique,</w:t>
      </w:r>
    </w:p>
    <w:p>
      <w:r>
        <w:t>- 20 -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w:t>
      </w:r>
    </w:p>
    <w:p>
      <w:r>
        <w:t>- 21 -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c) En l’occurrence pour ce qui est de l’indemnité pour atteinte à l’intégrité, l’expertise pluridisciplinaire du 12 décembre 2017 évalue l’atteinte à l’intégrité à 20 %, à savoir 10 % pour la coxarthrose et 10 % pour la gonarthrose dont souffre la recourante à la suite de l’accident de mai 2012, en se fondant sur la table 5 des atteintes à l’intégrité selon la LAA. Dans l’évaluation consensuelle de l’expertise pluridisciplinaire du 1er mars 2021, les experts nient toute atteinte à l’intégrité sur le plan neurologique, neuropsychologique, ostéoarticulaire ou psychiatrique consécutive aux accidents de 2018 et ne remettent pour le surplus pas en cause l’évaluation de 2017 des atteintes à l’intégrité physique. C’est dès lors à juste titre que l’intimée n’a pas tenu compte des troubles de nature psychique, neuropsychologique, neurologique et de la colonne vertébrale dont souffre la recourante. En conséquence, la décision attaquée en tant qu’elle retient un taux d’atteinte à l’intégrité physique de 20 % ne prête pas flanc à la critique, la recourante ne produisant aucun avis médical susceptible de remettre en cause les conclusions des experts.</w:t>
      </w:r>
    </w:p>
    <w:p>
      <w:r>
        <w:t>- 22 - d) On ajoutera qu’aux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no U 320 p. 602 consid. 3b et la référence). Or l’estimation des experts se fonde sur une appréciation actuelle qui devra, le cas échéant, être modifiée en cas d’une future aggravation quantifiable. 6. a) En définitive, le recours doit être rejeté et la décision sur opposition attaquée confirmée. b) Il n’y a pas lieu de percevoir de frais judiciaires (art. 61 let. fbis LPGA), ni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