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ZA22.045318 vom 2. Juli 2024</w:t>
      </w:r>
    </w:p>
    <w:p>
      <w:r>
        <w:t>VD Tribunal cantonal, 2024-07-02, FR</w:t>
      </w:r>
    </w:p>
    <w:p>
      <w:r>
        <w:rPr>
          <w:b/>
        </w:rPr>
        <w:t xml:space="preserve">Quelle: </w:t>
      </w:r>
      <w:r>
        <w:t>https://mcp.opencaselaw.ch/entscheid/vd_gerichte_ZA22.045318</w:t>
      </w:r>
    </w:p>
    <w:p>
      <w:r>
        <w:t>FR: VD_GERICHTE ZA22.045318 du 2 juillet 2024</w:t>
      </w:r>
    </w:p>
    <w:p>
      <w:r>
        <w:t>IT: VD_GERICHTE ZA22.045318 del 2 luglio 2024</w:t>
      </w:r>
    </w:p>
    <w:p>
      <w:pPr>
        <w:pStyle w:val="Heading2"/>
      </w:pPr>
      <w:r>
        <w:t>Erwägungen</w:t>
      </w:r>
    </w:p>
    <w:p>
      <w:r>
        <w:rPr>
          <w:b/>
        </w:rPr>
        <w:t>E. 23</w:t>
      </w:r>
    </w:p>
    <w:p>
      <w:r>
        <w:t>fr. 36/heure × 12 mois). Dans sa réponse du 7 février 2022, U.________ SA a conclu au rejet du recours. Elle fait valoir que l’assuré ne peut pas se prévaloir de l’art. 22 al. 2 let. c OLAA, applicable aux seuls membres de la famille et associés, termes qui devaient recevoir une interprétation restrictive. S’agissant en particulier de l’inscription au Registre du commerce, U.________ SA rappelle que celle-ci ne déploie ses effets qu’à partir du moment de sa publication. Par écritures des 11 janvier et 17 février 2023, les parties ont confirmé leurs moyens et conclusions. Par avis du 18 décembre 2023, la juge instructrice à requis la production des mains du recourant des pièces suivantes : · L’éventuelle déclaration d’accident établie par B.________ Sàrl à l’attention d’U.________ SA. · Les démarches effectuées par B.________ Sàrl auprès d’U.________ SA pour inclure votre mandant dans la police d’assurance accident de l’entreprise.</w:t>
      </w:r>
    </w:p>
    <w:p>
      <w:r>
        <w:t>- 6 - · Tous les documents établis à l’occasion du transfert des parts sociales de M.________ à votre mandant, en particulier : 1. le contrat de cession des parts sociales (art. 785 CO), 2. les documents bancaires attestant du versement de 45'000 fr., 3. tous les documents ayant précédé dite cession, notamment ceux établissant l’accord des associés (PV de l’assemblée des associés notamment). Le 16 janvier 2024, le recourant a fait savoir que son conseil avait annoncé le cas d’assurance en lien avec l’activité pour B.________ Sàrl le 19 mai 2022, rappelant qu’U.________ SA avait déjà reçu l’annonce de sinistre en lien avec l’activité de l’intéressé pour J.________. Il a précisé qu’aucune démarche particulière n’avait été accomplie par B.________ Sàrl avant l’accident pour l’inclure dans la police de l’entreprise. Il a remis le contrat de cession de parts sociales établi le 1er juin 2023, accompagné du procès-verbal de l’assemblée des associés du même jour, d’un nouvel extrait du Registre du commerce et de la preuve de paiement du montant de 40'000 fr. en mains de M.________ le 21 juillet 2020. Il a précisé que compte tenu de l’évolution des affaires depuis la pandémie de Covid-19, le prix de vente des 10 parts de la société B.________ Sàrl avait finalement été ramené au mois de juin 2023 à un montant de 40'000 fr., soit la somme versée en juillet 2020, les 5'000 fr. payés ultérieurement ayant été attribués par les parties à une autre affaire. Il en a déduit que, sur le plan économique, le transfert de parts avait été intégralement et définitivement exécuté au mois de juillet 2020. U.________ SA s’est déterminée le 14 février 2024. Elle a souligné qu’au moment de l’accident, le recourant n’avait pas versé la somme convenue pour l’achat des 10 parts sociales de la société, mais seulement un acompte de 40'000 fr. le 21 juillet 2020 (l’attestation du 10 mai 2022 indiquait clairement le prix total de vente de 53'000 fr.), et qu’en conséquence, il ne possédait pas le statut d'associé de la société B.________ Sàrl à ce moment. L’intimée a observé que même si, au mois de juin 2023, le recourant et M.________ avaient trouvé un accord qui fixait à 40'000 fr. le montant des 10 parts sociales de la société, cet accord, signé alors que la présente procédure était déjà en cours,</w:t>
      </w:r>
    </w:p>
    <w:p>
      <w:r>
        <w:t>- 7 - n’exerçait aucune influence sur le fait qu’au moment de l’accident, le recourant ne possédait pas le statut d’associé de la société.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la quotité du gain assuré pour le calcul des indemnités journalières allouées au recourant à la suite de l’accident du 13 février 2022. 3. a) Aux termes de l’art. 1a al. 1 let. a LAA, sont assurés à titre obligatoire les travailleurs occupés en Suisse, y compris les travailleurs à domicile, les apprentis, les stagiaires, les volontaires ainsi que les personnes travaillant dans des écoles de métiers ou des ateliers protégés. Suivant l’alinéa 2 de cet article,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w:t>
      </w:r>
    </w:p>
    <w:p>
      <w:r>
        <w:t>- 8 - bénéficiaires de privilèges, d’immunités et de facilités visées à l’art. 2 al. 2 de la loi fédérale du 22 juin 2007 sur l’Etat hôte (LEH ; RS 192.12). b)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et les références ; GABRIELA RIEMER- KAFKA/OLIVIA KADERLI, in MARC HÜRZELER/UELI 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w:t>
      </w:r>
    </w:p>
    <w:p>
      <w:r>
        <w:t>- 9 -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l’assurance-invalidité au sens de l’art. 18a LAI est obligatoirement assurée contre le risque d’accident (ATF 144 V 411 consid. 2 à 4).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Parmi ces prestations figurent notamment le droit à des indemnités journalières (art. 16 al. 1 LAA). b) En l’occurrence, le principe du droit à des indemnités journalières n’est pas contesté, reste à en arrêter la quotité. 5. a) Aux termes de l’art. 16 al. 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w:t>
      </w:r>
    </w:p>
    <w:p>
      <w:r>
        <w:t>- 10 - b) Selon l’art. 15 LAA, les indemnités journalières et les rentes sont calculées d’après le gain assuré (al. 1). Est réputé gain assuré pour le calcul des indemnités journalières le dernier salaire que l’assuré a reçu avant l'accident (art. 15 al. 2, première phrase, LAA). Selon l’art. 17 al. 1 LAA, l’indemnité journalière correspond, en cas d’incapacité totale de travail (art. 6 LPGA), à 80 % du gain assuré. Le gain assuré est calculé conformément à l’art. 22 OLAA, dont l’alinéa 3 prévoit que l’indemnité journalière est calculée sur la base du salaire que l’assuré a reçu en dernier lieu avant l’accident, y compris les éléments de salaire non encore perçus et auxquels il a droit. c) Conformément à la délégation de l’art. 15 al. 3 LAA, le Conseil fédéral a promulgué des dispositions sur la prise en considération du gain assuré dans des cas spéciaux, pour l’indemnité journalière. Suivant l’art. 22 al. 2 let. c OLAA, il est au moins tenu compte du salaire correspondant aux usages professionnels et locaux pour le calcul du gain assuré des membres de la famille de l’employeur travaillant dans l’entreprise, des associés, des actionnaires ou des membres de sociétés coopératives.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 accidents (TF 8C_82/2017 du 6 décembre 2017 consid. 4.1 ; SVR 2007 UV n° 39 p. 131, 8C_88/2007, consid. 2 ; TF 8C_14/2016 du 21 décembre 2016 consid. 3.3 ; 8C_893/2011 du 31 mai 2012 consid. 2). aa)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assurances sociales se fonde sur le droit de la famille, qui en constitue un préalable (ATF 140 I 77 consid. 5.1 p. 80 et</w:t>
      </w:r>
    </w:p>
    <w:p>
      <w:r>
        <w:t>- 11 - les arrêts cités ; TF 9C_97/2017 du 20 septembre 2017 consid. 4.2.1). Ainsi, la notion de "membres de la famille de l’employeur travaillant dans l’entreprise", utilisée notamment à l’art. 22 al. 2 let. c OLAA, englobe exclusivement les membres de la famille au sens du droit de la famille du Code civil (ATF 121 V 125). Bien que le terme de famille soit souvent mentionné dans le Code civil, celui-ci ne définit pas directement cette notion ; on peut cependant déduire des dispositions du droit civil que la famille comprend au moins les personnes mariées (dont les relations sont régies par les art. 90 à 251 CC), ainsi que les personnes unies par un lien de filiation (réglé par les art. 252 à 327 CC). On parle aussi de la famille nucléaire ("Kernfamilie"), comprise comme les parents mariés et leurs enfants communs (TF 9C_97/2017 du 20 septembre 2017consid. 4.2.1 et les références citées). 6. a) Aux termes de l’art. 784 al. 1 CO, si la part sociale d’une société à responsabilité limitée est constatée par un titre, celui-ci ne constitue qu’un titre de preuve ou un papier-valeur nominatif (c’est-à- dire, au sens de l’art. 974 CO, établi au nom d’une personne, non endossable ; cf. art. 974 ss CO). L’émission de parts sociales à titre de preuve n’est en pratique que rarement matérialisée, la qualité d’associé étant principalement attestée par l’inscription de l’associé au Registre du commerce avec l’indication du nombre et de la valeur nominale des parts sociales détenues, l’inscription en incombant à la société (art. 791 CO). L’inscription au Registre du commerce, ainsi que l’obligation de tenir un registre des parts sociales (art. 790 CO), dont il peut être établi des extraits signés par les gérants, permettent ainsi sans difficulté de répondre aux fins déclaratives de la qualité d’associé sans nécessiter l’émission de titres. Si un associé le souhaite, il peut demander à la société l’établissement d’un titre, une attestation de détention de parts sociales ou l’émission d’un papier-valeur nominatif, lequel prendra la forme d’un ou de plusieurs certificats de parts sociales (PASCAL MONTAVON/DIMITRI MORARCALIEV, Le transfert par cession et l’acquisition par modes particuliers de parts sociales de Sàrl in TREX 2023 p. 273 ; FERNAND CHAPPUIS/MICHEL JACCARD, in PIERRE TERCIER/MARC AMSTUTZ/RITA TRIGO</w:t>
      </w:r>
    </w:p>
    <w:p>
      <w:r>
        <w:t>- 12 - TRINDADE [éd.], Commentaire Romand, Code des Obligations II, 3e éd., Bâle 2024, n. 2 et 4 ad art. 784 CO). b) La cession de parts sociales d’une Sàrl est le moyen ordinaire permettant de transférer des parts sociales par un acte juridique en suivant pour ce faire les règles de la cession de créance (art. 165 et 967 al. 2 CO). Ce mode de transfert comprend dès lors obligatoirement un acte de disposition et, le cas échéant, la remise des titres si ceux-ci ont été émis. Le contrat de cession doit être complété de son approbation par l’assemblée des associés de la société. Selon l’art. 785 al. 1 CO, la cession de parts sociales doit revêtir la forme écrite, soit un accord établi par écrit entre l’aliénateur et l’acquéreur (art. 165 et 967 al. 2 CO), étant précisé que cette forme est impérative (art. 11 CO). Le mode juridique est celui de la cession de créance. L’art. 785 al. 2 CO impose au contrat de cession de contenir les mêmes renvois aux droits et obligations statutaires que l’acte de souscription des parts sociales, à moins que l’acquéreur ne soit déjà un associé. La loi opère un renvoi à l’art. 777a al. 2 CO. L’acte de disposition doit dès lors indiquer dans sa forme qualifiée, soit si l’acquéreur n’est pas déjà associé de la société, outre les éléments ordinaires individualisant le contrat (désignation des parties au contrat de cession, désignation de la société dont les parts sociales sont cédées, nombre et valeur nominale des parts sociales, droits sociaux et économiques divergeant des parts sociales ordinaires en cas de catégories de parts sociales), l’obligation d’effectuer des versements supplémentaires (art. 795 CO), l’obligation de fournir des prestations accessoires (art. 796 CO), les éventuelles prohibitions pour les associés de faire concurrence (art. 803 CO), les éventuels droits de préférence, de préemption et d’emption des associés ou de la société, et les éventuelles peines conventionnelles. Ces mentions doivent figurer dans l’acte de disposition pour autant qu’elles soient prévues dans les statuts de la Sàrl en lien avec les parts sociales cédées (MONTAVON/MORARCALIEV, op. cit., p. 274).</w:t>
      </w:r>
    </w:p>
    <w:p>
      <w:r>
        <w:t>- 13 - c) Le transfert des parts sociales doit être approuvé par l’assemblée des associés, qui peut refuser son approbation sans en indiquer les motifs (art. 786 al. 1 CO). La compétence de cet organe est impérative (art. 804 al. 2 ch. 8 CO). Cette forme légale, dont les statuts peuvent s’affranchir (art. 786 al. 2 ch. 1 CO), ce qui a pour effet que le transfert de parts sociales est alors libre, rend les parts sociales « liées », du fait de la loi, à l’approbation de l’assemblée des associés (CHAPPUIS/JACCARD, op. cit. n. 6 art. 786 CO). Selon l’art. 808b al. 1 ch. 4 CO, une décision de l’assemblée des associés recueillant au moins deux tiers des voix représentées et la majorité absolue du capital social pour lequel le droit de vote peut être exercé est nécessaire pour approuver la cession de parts sociales, sous réserve d’une majorité statutaire aggravée (al. 2), voire allégée (MONTAVON/MORARCALIEV, op. cit., p. 275). Le transfert de propriété, donc la qualité d’associé, ne s’obtient qu’au jour de l’approbation de la cession par l’assemblée des associés (art. 787 al. 1 CO), non pas rétroactivement à la date de l’acte de disposition ou à la date où la demande a été faite (MONTAVON/MORARCALIEV, op. cit., p. 276 ; SHELBY DU PASQUIER/MATTHIAS WOLF/MATTHIAS OERTLE, in HANS-UELI VOGT/ROLF WATTER [éd.], Basler Kommentar, Obligationenrecht II, 6e éd. Bâle 2023, n. 2 ad. art. 787 CO).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- 14 - 8. a) Le recourant soutient qu’il travaillait de façon régulière depuis le mois de juillet 2020 pour le bar à vin exploité par la société B.________ Sàrl et y occupait la place de co-gérant, si bien qu’il devait bénéficier d’indemnités journalières calculées sur un salaire hypothétique dans ce bar. Il y avait en effet travaillé gratuitement et il en assumait les mêmes risques que Q.________, alors seul associé inscrit au Registre du commerce. b) aa) Ce raisonnement ne saurait être suivi. Rien ne permet d’établir, au degré de la vraisemblance prépondérante, qu’il aurait exercé une activité régulière au sein de la société B.________ Sàrl. Il n’existe ainsi aucune mention de la moindre cotisation de l’AVS pour cette société au décompte individuel du recourant. Or, selon la jurisprudence, il résulte des art. 30ter al. 1 à 3 LAVS (loi fédérale du 20 décembre 1946 sur l’assurance-vieillesse et survivants ; RS 831.10) et 141 al. 3 RAVS (règlement du 31 octobre 1947 sur l’assurance-vieillesse et survivants ; RS 831.101) que les impératifs de coordination exigent que l’assureur-accidents ne s’écarte pas, sauf inexactitude manifeste, de la qualification des organes de l’AVS (TF 9C_414/2020 du 11 mai 2021 consid. 4 et les références citées ; JEAN-MAURICE FRÉSARD/MARGIT MOSER-SZELESS, L’assurance-accidents obligatoire, in ULRICH MEYER (éd.), Soziale Sicherheit, Schweizerisches Bundesverwaltungsrecht [SBVR], Vol. XIV, 3e éd., Bâle 2016, n. 3, p. 899). La Cour de céans observe que le recourant n’a jamais été déclaré par le biais de la police d’assurance LAA de cette société, ce qui laisse perplexe étant observé que, malgré les allégations du recourant, aucune annonce n’a même été faite à la caisse supplétive (art. 59 al. 3 LAA). Le recourant ne fournit pas davantage d’emploi du temps ou d’autres documents de gestion (échange de correspondance, etc.) permettant de rendre un tant soit peu vraisemblable qu’il exerçait une activité pour cette société au moment de l’accident. En particulier, il ne fournit pas l’enregistrement de ses horaires de travail au sens de l’art. 21 de la CCNT dont il se prévaut pourtant pour établir un salaire hypothétique, étant précisé que</w:t>
      </w:r>
    </w:p>
    <w:p>
      <w:r>
        <w:t>- 15 - cette convention collective ne prévoit pas d’exception à l’obligation de saisie des horaires pour les cadres (cf. art. 46 LTr [Loi sur le travail du 13 mars 1964 ; RS 822.11] et art. 73a al. 1 OLT1 [Ordonnance 1 relative à la loi sur le travail du 10 mai 2000 ; RS 822.111]. Il ne rend ainsi pas vraisemblable qu’il convienne de s’écarter du décompte individuel AVS. Quant aux difficultés de la société alléguées par le recourant pour justifier l’absence de rémunération pendant la période de la pandémie de coronavirus, elles ne sont pas rendues vraisemblables de par les seules conséquences de la pandémie (fermetures, etc.) en tant qu’elles ne sont démontrées par aucun document comptable. Le recourant ne peut pas davantage être suivi lorsqu’il soutient que son cas devrait être assimilé à celui d’un stagiaire. Est considéré comme stagiaire au sens de la LAA, celui qui exerce une activité dans un but de formation ou de préparation à une formation ou au choix d’une formation (FRÉSARD/MOSER-SZELESS, op. cit., n. 8, p. 900 et les références citées). Or le recourant n’explique pas quel métier ou titre seraient visés. En particulier, il n’est titulaire d’aucune patente au sens de l’art. 8 LADB (loi du 26 mars 2002 sur les auberges et les débits de boissons ; BLV 935.31) selon le registre cantonal. Il ne fournit aucun document à cet égard. On observe encore qu’en ce qui concerne le statut dont se prévaut l’intéressé, la CCNT prévoit une rémunération obligatoire des stagiaires (art. 11), laquelle fait justement défaut. Aussi, il n’est pas établi – au degré de la vraisemblance prépondérante – que le recourant a exercé une quelconque activité pour la société B.________ Sàrl durant la période litigieuse. bb) A teneur de la jurisprudence précitée (cf. consid. 5c/aa ci-dessus), il n’existe pas de lien familial pertinent, si bien que le recourant ne saurait se prévaloir de cet argument. cc) Quant à la question de l’acquisition de la qualité d’associé-gérant, force est d’admettre que le recourant n’en disposait pas à la date de l’accident.</w:t>
      </w:r>
    </w:p>
    <w:p>
      <w:r>
        <w:t>- 16 - Il convient préalablement de constater que les statuts (en particulier les art. 4 à 7) reprennent les dispositions légales et que la société n’a pas prévu d’exception à ce régime. Conformément à l’attestation du 10 mai 2022 et au prix des parts fixé initialement, le montant de 40'000 fr. versé par ce dernier n’était qu’un acompte du prix convenu même si ce prix a été modifié ultérieurement. De plus, il y a lieu de constater que la cession des parts sociales, laquelle doit revêtir la forme écrite selon les art. 785 et 11 CO, n’a eu lieu qu’au mois de juin 2023 (selon le contrat de cession de parts sociales du 1er juin 2023). Une telle cession requiert en outre l’approbation de l’assemblée des associés (art. 786 CO), laquelle n’a été donnée que lors de l’assemblée du 1er juin 2023, soit postérieurement à la date de l'accident et dans le cours de la présente procédure. Dès lors que la cession des parts sociales demandait l’approbation de l’assemblée, celle-ci n’a pu déployer ses effets qu’à partir de la date de l’approbation, à savoir au plus tôt le 1er juin 2023 (art. 787 CO), étant observé que le recourant n’a été inscrit au registre du commerce que six mois plus tard, le 13 décembre 2023 (cf. FOSC du 18 décembre 2023, Registre journalier n. 21'711 du 13 décembre 2023). De surcroît, malgré la demande de la juge instructrice, le recourant n’a pas produit d’éventuels statuts antérieurs à la version disponible au Registre du commerce qui auraient permis de rendre vraisemblable l’une des exceptions de l’art. 786 CO. Aussi, le recourant n’a pas rendu vraisemblable qu’il exerçait le moindre rôle dans la société B.________ Sàrl avant son inscription au Registre du commerce. c) En définitive, les éléments versés au dossier ne permettent pas d’établir, au degré de la vraisemblance prépondérante, que le recourant était gérant, associé ou employé de B.________ Sàrl au moment de l’accident ni qu’un lien familial ne soit établi avec l’un des gérants ou associés de cette société. Aussi, c’est de manière conforme</w:t>
      </w:r>
    </w:p>
    <w:p>
      <w:r>
        <w:t>- 17 - au droit fédéral que l’intimée a nié au recourant le droit à de plus amples indemnités journalières à raison de son l’activité alléguée pour B.________ Sàrl. 9. L’instruction apparaît suffisante, les éléments au dossier permettant à la Cour de céans de statuer en pleine connaissance de cause, de sorte qu’il n’y a pas lieu d’ordonner de mesures d’instruction complémentaires telle que l’audition de Q.________ requise par la partie recourante. Celle-ci n’apparaît pas de nature à apporter un éclairage différent des éléments retenus ci-dessus et peut dès lors être écartée par appréciation anticipée des preuves (ATF 145 I 167 consid. 4.1 ; 144 II 427 consid. 3.1.3 ; 140 I 285 consid. 6.3.1). 10. a) En définitive, le recours, mal fondé, doit être rejeté et la décision litigieuse confirmée. b) Il n’y a pas lieu de percevoir de frais judiciaires (art. 61 let. fbis LPGA), ni d’allouer de dépens à la partie recourante, qui n’obtient pas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