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ZA22.044396 vom 19. März 2024</w:t>
      </w:r>
    </w:p>
    <w:p>
      <w:r>
        <w:t>VD Tribunal cantonal, 2024-03-19, FR</w:t>
      </w:r>
    </w:p>
    <w:p>
      <w:r>
        <w:rPr>
          <w:b/>
        </w:rPr>
        <w:t xml:space="preserve">Quelle: </w:t>
      </w:r>
      <w:r>
        <w:t>https://mcp.opencaselaw.ch/entscheid/vd_gerichte_ZA22.044396</w:t>
      </w:r>
    </w:p>
    <w:p>
      <w:r>
        <w:t>FR: VD_GERICHTE ZA22.044396 du 19 mars 2024</w:t>
      </w:r>
    </w:p>
    <w:p>
      <w:r>
        <w:t>IT: VD_GERICHTE ZA22.044396 del 19 marzo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- 10 -</w:t>
      </w:r>
    </w:p>
    <w:p>
      <w:r>
        <w:rPr>
          <w:b/>
        </w:rPr>
        <w:t>E. 2</w:t>
      </w:r>
    </w:p>
    <w:p>
      <w:r>
        <w:t>Le litige porte sur le point de savoir si l’intimée était fondée à mettre un terme à ses prestations des suites de l’événement du 24 septembre 2021 avec effet au 20 mai 2022.</w:t>
      </w:r>
    </w:p>
    <w:p>
      <w:r>
        <w:rPr>
          <w:b/>
        </w:rPr>
        <w:t>E. 3</w:t>
      </w:r>
    </w:p>
    <w:p>
      <w:r>
        <w:t>Dans un grief de nature formelle qu’il convient d’examiner en premier lieu, le recourant se plaint d’une violation de son droit d’être entendu, respectivement d’un déni de justice, au motif que la problématique de son genou n’aurait pas été instruite.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En l’occurrence, le moyen soulevé par le recourant s’agissant de l’atteinte au genou se confond avec celui de violation du principe inquisitoire (art. 43 LPGA) et doit être examiné avec le fond du litige. A toutes fins utiles, on relèvera à ce stade que l’on ne discerne quoi qu’il en soit pas le « déni de justice » allégué, pas plus que la violation du droit d’être entendu. Le recourant a au demeurant pu faire valoir ses moyens dans le cadre d’un double échange d’écritures devant la Cour des assurances sociales du Tribunal cantonal, qui dispose d’un plein pouvoir d’examen (ATF 145 I 167 consid. 4.4 ; 142 II 218 consid. 2.8.1 ; 137 I 195 consid. 2.3.2). Ainsi, une hypothétique violation de son droit d’être entendu devrait en tous les cas être considérée comme réparée.</w:t>
      </w:r>
    </w:p>
    <w:p>
      <w:r>
        <w:t>- 11 -</w:t>
      </w:r>
    </w:p>
    <w:p>
      <w:r>
        <w:rPr>
          <w:b/>
        </w:rPr>
        <w:t>E. 3.2</w:t>
      </w:r>
    </w:p>
    <w:p>
      <w:r>
        <w:t>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w:t>
      </w:r>
    </w:p>
    <w:p>
      <w:r>
        <w:t>- 13 - (ATF 146 V 51 consid. 5.1 et les références ; TF 8C_733/2020 du 28 octobre 2021 consid. 3.3).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8C_746/2018 du 1er avril 2019 consid. 3.3 ; 8C_373/2013 du 11 mars 2014 consid. 3.3 ; 8C_1003/2010 du 22 novembre 2011 consid. 1.3). La jurisprudence a retenu, en se référant à l’état actuel des connaissances médicales, qu’une aggravation post-traumatique (sans lésion structurelle associée) d’un état dégénératif antérieur de la colonne vertébrale auparavant asymptomatique cesse de produire ses effets en règle générale après six à neuf mois, voire au maximum après une année (TF 8C_164/2019 du 6 mars 2020 consid. 5.2.2 ; TF 8C_746/2018 précité consid. 3.2).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w:t>
      </w:r>
    </w:p>
    <w:p>
      <w:r>
        <w:t>- 14 -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4</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w:t>
      </w:r>
    </w:p>
    <w:p>
      <w:r>
        <w:t>- 12 -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w:t>
      </w:r>
    </w:p>
    <w:p>
      <w:r>
        <w:rPr>
          <w:b/>
        </w:rPr>
        <w:t>E. 5</w:t>
      </w:r>
    </w:p>
    <w:p>
      <w:r>
        <w:t>En l’espèce, le recourant fait pour l’essentiel valoir que sa situation n’est pas stabilisée, et que ses déclarations au Dr J.________ ont été mal comprises. Il reproche en outre à l’intimée de ne pas avoir instruit la problématique relative à son genou droit. En l’occurrence, l’intimée s’est fondée sur l’appréciation du Dr S.________ du 2 mai 2022, selon laquelle l’accident n’a pas occasionné de lésion structurelle pouvant lui être attribué, chez un assuré qui présentait des atteintes dégénératives avant la chute, et a cessé de déployer ses effets après six mois. Ce médecin a constaté que les imageries révélaient l’existence d’un canal lombaire étroit dégénératif,</w:t>
      </w:r>
    </w:p>
    <w:p>
      <w:r>
        <w:t>- 15 - que l’accident avait passagèrement décompensé. Le Dr P.________, qui a eu connaissance de tous les éléments médicaux versés au dossier postérieurement à l’appréciation du Dr S.________, partage le même avis. En effet, après avoir pris en compte tous les éléments du dossier, le Dr P.________ a retenu, au degré de la vraisemblance prépondérante, que l’événement du 24 septembre 2021 n’a pas créé de nouvelle atteinte, en particulier discale, chez un assuré qui présentait une sténose lombaire acquise, ancienne, sévère, essentiellement et majoritairement osseuse sur discopathies dégénératives multiples. Selon le Dr P.________, un tel état attendait « tout événement fut-il le plus bénin » pour être révélé et c’est ce qui s’était produit lors de l’accident du 24 septembre 2021. Cet événement a aggravé de façon temporaire une situation déjà sévère. A l’instar du Dr S.________, le Dr P.________ a estimé que l’accident a cessé ses effets au plus tard après six mois, soit fin mars 2022, ce qui était du reste confirmé par l’IRM du 31 mars 2022. Le recourant ne soutient pas, à juste titre, que les critères jurisprudentiels pour admettre l’origine traumatique d’une atteinte intervertébrale sont réalisés. Les pièces du dossier ne permettent pas de retenir que les atteintes qu’il présente seraient encore en lien avec l’accident. En particulier, il n’est pas fait état d’un accident revêtant une importance particulière, respectivement d’un événement à haute énergie permettant d’expliquer la survenance d’une hernie discale. Il est en outre constant que les IRM mises en œuvre ont montré des troubles dégénératifs au niveau lombaire. Or, comme l’a rappelé l’intimée dans sa décision sur opposition, dans le contexte d’une atteinte dégénérative préexistante, le point déterminant est celui de savoir si les causes accidentelles d’une atteinte à la santé ne jouent plus de rôle et doivent être considérées comme ayant disparu. Le recourant ne peut être suivi lorsqu’il affirme que la situation n’était pas stabilisée lorsque l’intimée a rendu sa décision, au seul motif qu’une amélioration des douleurs pouvait être espérée par des infiltrations. Pour le surplus, on peine à suivre le recourant dans ses explications relatives au fait que le Dr J.________ n’aurait pas saisi la portée</w:t>
      </w:r>
    </w:p>
    <w:p>
      <w:r>
        <w:t>- 16 - de ses troubles, respectivement la sévérité de ses souffrances. Le recourant était en effet accompagné d’une personne fonctionnant en qualité d’interprète, qui, sur la pièce produite à l’appui de la réplique, dit être un de ses amis très proche. On ne comprend dès lors pas que cette personne ait pu ne pas traduire avec soin les réponses du recourant, en particulier quant à ses douleurs. Il n’en demeure pas moins que les rapports du Dr J.________, en sus de reposer sur les déclarations de son patient, se fondent sur les imageries, ainsi que sur ses examens cliniques. Or ces pièces successives établissent le caractère dégénératif des atteintes qu’il présente. Quant à la problématique évoquée au niveau du membre inférieur droit, il faut admettre qu’elle a été examinée par l’intimée. Comme elle l’a rappelé dans sa réponse au recours, les médecins traitants ont mentionné seulement occasionnellement des douleurs au membre inférieur droit et les ont mises en lien avec les problèmes lombaires. L’intimée a cité à cet égard les rapports du Dr G.________ du 17 février 2022 (pièce 25) et du Dr J.________ des 20 décembre 2021 (pièce 37) et 5 avril 2022 (pièce 67). Dans ces rapports, il est en effet mentionné des plaintes du patient au niveau du membre inférieur droit, en particulier lors de la consultation du 31 mars 2022. Ainsi, contrairement à ce que semble alléguer le recourant, ses plaintes ont été entendues par les médecins traitants. Il ressort par ailleurs du rapport de consultation du Dr J.________ du 20 décembre 2021, que ce spécialiste a procédé à un examen clinique du membre inférieur droit mais que ce qu’il a observé n’a pas justifié d’investigation complémentaire. Aucune imagerie spécifique n’a ainsi été réalisée, ni même préconisée. Se fondant sur ces différents rapports, le Dr P.________ a confirmé que les racines lombaires comprimées chez le recourant expliquaient les douleurs aux genoux et aux hanches (cf. p. 14 du rapport du 9 décembre 2022). Dans ces conditions, il n’y a pas lieu de s’écarter des conclusions des médecins d’arrondissement de la CNA.</w:t>
      </w:r>
    </w:p>
    <w:p>
      <w:r>
        <w:t>- 17 -</w:t>
      </w:r>
    </w:p>
    <w:p>
      <w:r>
        <w:rPr>
          <w:b/>
        </w:rPr>
        <w:t>E. 6</w:t>
      </w:r>
    </w:p>
    <w:p>
      <w:r>
        <w:t>A titre de mesures d’instruction, le recourant a requis l’audition de deux témoins, ainsi que la mise en œuvre d’une expertise judiciaire. En supposant qu’elles soient pertinentes, les auditions de témoins requises n’en seraient pas moins superflues, dès lors que le recourant a produit avec ses écritures les témoignages écrits des personnes concernées. Par ailleurs, comme démontré plus avant, les éléments médicaux au dossier sont suffisants pour permettre à la Cour des assurances sociales de se prononcer et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7</w:t>
      </w:r>
    </w:p>
    <w:p>
      <w:r>
        <w:t>a) En définitive, le recours doit être rejeté et la décision sur opposition litigieuse confirmée. b) Il n’y a pas lieu de percevoir de frais judiciaires (art. 61 let. fbis LPGA), ni d’allouer de dépens à la partie recourante, qui n’obtient pas gain de cause (art. 61 let. g LPGA). c) Le recourant ayant été mis au bénéfice de l’assistance judiciaire, son conseil d’office a droit à une rémunération équitable (art. 122 CPC [code de procédure civile du 19 décembre 2008 ; RS 272]). Celui- ci a produit une liste d’opérations en date du 31 janvier 2024, faisant état de 18.85 heures consacrées à la présente procédure. S’il convient d’en tenir compte pour fixer l’indemnité, cette liste ne peut toutefois être intégralement suivie. L’activité déployée dépasse en effet ce qu’admet la</w:t>
      </w:r>
    </w:p>
    <w:p>
      <w:r>
        <w:t>- 18 - pratique de la Cour dans l’estimation du temps objectivement requis pour le traitement de cas de ce genre eu égard à l’importance et à la complexité du litige. En particulier, les 6 heures 40 consacrées à la rédaction du recours, auxquelles s’ajoutent 4 heures 10 pour préparer la réplique, paraissent excessives, ce d’autant que Me Carré représentait déjà le recourant dans le cadre de la procédure administrative et que l’acte de recours reprend très largement le contenu de ses écritures des 15 juin et 30 septembre 2022 contestant la décision de l’intimée. Certaines opérations doivent en outre être retranchées, dès lors qu’elles ne concernent pas le litige (contacts avec l’assurance-maladie ou l’employeur) ou qu’il s’agit d’opérations de secrétariat (tentatives de joindre par téléphone). Par conséquent, le nombre d’heures nécessaires au mandat doit être ramené à 15 heures, auxquelles s’applique le tarif horaire de 180 fr., ainsi qu’un forfait de 5 % du défraiement hors taxe pour les débours. Ces opérations s’étant toutes déroulées avant le 1er janvier 2024, la TVA doit être calculé au taux de 7.7 %. Ainsi, le montant de l’indemnité de Me Carré est arrêté à 3'053 fr. 30,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