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ZA22.036151 vom 25. März 2024</w:t>
      </w:r>
    </w:p>
    <w:p>
      <w:r>
        <w:t>VD Tribunal cantonal, 2024-03-25, FR</w:t>
      </w:r>
    </w:p>
    <w:p>
      <w:r>
        <w:rPr>
          <w:b/>
        </w:rPr>
        <w:t xml:space="preserve">Quelle: </w:t>
      </w:r>
      <w:r>
        <w:t>https://mcp.opencaselaw.ch/entscheid/vd_gerichte_ZA22.036151</w:t>
      </w:r>
    </w:p>
    <w:p>
      <w:r>
        <w:t>FR: VD_GERICHTE ZA22.036151 du 25 mars 2024</w:t>
      </w:r>
    </w:p>
    <w:p>
      <w:r>
        <w:t>IT: VD_GERICHTE ZA22.036151 del 25 marzo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- 11 -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judiciaires d’été (art.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point de savoir si l’intimée était fondée à considérer l’état de santé du recourant comme stabilisé et à mettre un terme à la prise en charge du traitement médical ainsi qu’au versement des indemnités journalières avec effet au 31 mai 2022 au soir et, le cas échéant, à refuser de mettre le recourant au bénéfice d’une rente d’invalidité compte tenu de son calcul de la comparaison des revenus.</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w:t>
      </w:r>
    </w:p>
    <w:p>
      <w:r>
        <w:t>- 12 -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rPr>
          <w:b/>
        </w:rPr>
        <w:t>E. 4</w:t>
      </w:r>
    </w:p>
    <w:p>
      <w:r>
        <w:t>a) Parmi les prestations allouées en cas d’accident figure notamment le droit au traitement médical approprié des lésions résultant de l’accident (art. 10 al. 1 LAA). En outre, l’assuré totalement ou partiellement incapable de travailler à la suite d’un accident a droit à une indemnité journalière (art. 16 al. 1 LAA). Le droit naît le troisième jours qui suit celui de l’accident ; il s’éteint dès que l’assuré a recouvré sa pleine capacité de travail, dès qu’une rente est versée ou dès que l’assuré décède (art. 16 al. 2 LAA).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w:t>
      </w:r>
    </w:p>
    <w:p>
      <w:r>
        <w:t>- 13 - b)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rPr>
          <w:b/>
        </w:rPr>
        <w:t>E. 5</w:t>
      </w:r>
    </w:p>
    <w:p>
      <w:r>
        <w:t>a) Selon le principe de la libre appréciation des preuves (art.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w:t>
      </w:r>
    </w:p>
    <w:p>
      <w:r>
        <w:t>- 14 -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En l’occurrence, le recourant a perçu des indemnités journalières de l’intimée, qui a également pris en charge les frais de traitements médicamenteux, à la suite de l’accident ayant eu lieu au travail le 9 septembre 2019. L’assureur-accidents a mis un terme à ces prestations avec effet au 31 mai 2022 à minuit, sous réserve du traitement conservateur (Gabapentine® 300 mg le matin, 300 mg à midi et 600 mg au repas du soir et Dafalgan® 1 g en réserve, sur prescription médicale, et deux à trois consultations médicales par année) et de la physiothérapie (jusqu’à trois séries de neuf séances par an), estimant, sur</w:t>
      </w:r>
    </w:p>
    <w:p>
      <w:r>
        <w:t>- 15 - la base de l’avis de son médecin d’arrondissement (la Dre L.________), qu’il n’y avait plus lieu d’attendre de la poursuite du traitement une sensible amélioration de l’état de santé de l’intéressé, qui était stabilisé. Le recourant conteste cette appréciation, estimant en substance que son état de santé n’est pas stabilisé puisqu’il a toujours un traitement médicamenteux et se trouve encore en incapacité de travailler, en lien de causalité avec l’accident du 9 septembre 2019, justifiant la poursuite du versement des indemnités journalières et de la prise en charge des frais médicaux jusqu’à stabilisation, puis l’allocation d’une rente d’invalidité de 15 % au minimum. Compte tenu des éléments précités, il y a lieu d’examiner tout d’abord si les atteintes à la santé dues à l’accident du 9 septembre 2019 étaient stabilisées au 31 mai 2022 au soir. Dans l’affirmative, il conviendra ensuite de déterminer si lesdits troubles portent atteinte à la capacité de travail et de gain du recourant dans une mesure propre à lui ouvrir le droit à une rente d’invalidité de l’assurance-accidents.</w:t>
      </w:r>
    </w:p>
    <w:p>
      <w:r>
        <w:rPr>
          <w:b/>
        </w:rPr>
        <w:t>E. 7</w:t>
      </w:r>
    </w:p>
    <w:p>
      <w:r>
        <w:t>a) En l’espèce, lors de son examen final du 15 mars 2022, la Dre L.________ a posé les diagnostics de douleurs de la jambe, de la cheville et du pied gauches dans les suites d’un traumatisme de la jambe gauche le 9 septembre 2019 ayant entraîné une fracture ouverte Gustillo I médio-diaphysaire tibia et fibula gauche distale ayant nécessité le 10 septembre 2019 un lavage, débridement et parage de la plaie, réduction ouverte et ostéosynthèse par enclouage centro-médullaire du tibia gauche, de neuropathie axonale du nerf tibial gauche avec une lésion distale de la branche nerveuse des muscles long fléchisseur des orteils (électro-neuro-myogramme du 14 avril 2020), névrome du nerf tibial gauche, syndrome du tunnel tarsien ayant nécessité le 2 mars 2021 une neurolyse du nerf tibial gauche et une cure du tunnel tarsien gauche, et de signes dégénératifs de l’articulation talo-naviculaire et image de coalition talo-calcanéenne gauche sur les radiographies du 16 juillet 2021. Les diagnostics secondaires retenus étaient des lombalgies non déficitaires, un</w:t>
      </w:r>
    </w:p>
    <w:p>
      <w:r>
        <w:t>- 16 - embonpoint avec un BMI (Body Mass Index) à 29.9 kg/m2, et un status après état anxiodépressif. Au status, la Dre L.________ a constaté que la marche s’effectuait initialement avec une boiterie d’épargne du membre inférieur gauche qui disparaissait après quelques pas. L’assuré pouvait marcher sur les talons mais pas sur les pointes car cela engendrait des douleurs. La mobilité de la cheville gauche était diminuée et la médecin d’arrondissement de la CNA constatait une amyotrophie de 2 centimètres de la cuisse gauche et de 2.5 centimètres du mollet gauche. La force était légèrement diminuée au niveau de la flexion dorsale et de la flexion plantaire de la cheville gauche à M4+. De son côté, l’assuré déplorait un trouble de la sensibilité au niveau du membre inférieur gauche et se plaignait de paresthésies à l’appui sur sa cicatrice verticale. Il n’a pas été constaté d’allodynie ni de signe d’algoneurodystrophie. Il ressort des documents médicaux, singulièrement des rapports des 24 juin 2020 et 25 août 2021 de la CRR et des avis contemporains de l’Institut suisse de la douleur, que toutes les options thérapeutiques ont été explorées, y compris des infiltrations et de la rééducation, et qu’aucun traitement n’est en définitive susceptible d’améliorer la situation algique du recourant et ses orteils « en griffe ». L’épuisement des options thérapeutiques permettant une amélioration sensible de l’état de santé du patient ressort en particulier des propos du Dr G.________. La Dre L.________ ne s’écarte pas de ce constat et a admis la nécessité de poursuivre un traitement médicamenteux conservateur ainsi que de la physiothérapie (avis médical du 7 juin 2022). On rappellera que le fait que recourant se voit prescrire de la physiothérapie et des traitements antalgiques ne remet pas en question la stabilisation de l’état de santé, dès lors que, selon la jurisprudence, la prescription d’antalgiques et de séances de physiothérapie est compatible avec un état de santé stabilisé (TF 8C_93/2022 du 19 octobre 2022 consid. 4.2 et la référence). Aussi, sur la base du dossier, on ne voit pas quel élément aurait été omis ou écarté à tort et qui aurait permis de conclure à la non-stabilisation de</w:t>
      </w:r>
    </w:p>
    <w:p>
      <w:r>
        <w:t>- 17 - l’état de santé. Au demeurant, le recourant ne soutient pas que l’examen final du 15 mars 2022 souffrirait d’un quelconque vice. Dans ces conditions, l’état de santé du recourant doit être tenu pour stabilisé en sorte que c’est à juste titre que la CNA a mis fin au versement des indemnités journalières et à la prise en charge du traitement médical au 31 mai 2022 le soir. b) Sur la base du tableau clinique et après examen du dossier de l’assuré mis à sa disposition, la Dre L.________ a retenu les limitations fonctionnelles suivantes : pas de marche en terrains irréguliers, pas de marche prolongée et/ou répétée, pas d’activités statiques debout, pas de position accroupie ou à genou, pas de montée régulière et répétée de pentes, d’escaliers, d’échelles ou d’échelles d’échafaudage, pas de port de charges lourdes supérieures à 10 ou 15 kg, pas de port de charges en montant ou descendant des escaliers ou lors de déplacements. Elle a évalué la capacité de travail de l’assuré comme étant entière sans diminution de rendement dans une activité adaptée respectant strictement les limitations fonctionnelles précitées. A l’inverse, l’activité habituelle de maçon n’était plus exigible et une incapacité de travail totale devait être reconnue. En ce qui concerne l’évaluation de la capacité de travail du recourant, il ressort également de l’ensemble du dossier que les limitations fonctionnelles retenues empêchent la poursuite de l’activité habituelle de maçon, où l’intéressé doit se voir reconnaître une incapacité de travail totale et définitive depuis l’accident du 9 septembre 2019. Cela étant, il convient de constater que la médecin d’arrondissement de la CNA a retenu une pleine capacité de travail du recourant sans diminution de rendement dans une activité adaptée, ce qui n’est pas critiquable au vu de la nature des limitations fonctionnelles retenues. En effet, il ressort de l’anamnèse du rapport d’examen final du 16 mars 2022 que le recourant a déclaré qu’il ne présentait pas de douleurs au repos mais qu’il était uniquement dérangé par ses orteils qui</w:t>
      </w:r>
    </w:p>
    <w:p>
      <w:r>
        <w:t>- 18 - restaient en griffe. L’exercice d’un emploi respectant la position assise est exigible de la part de l’intéressé, si bien qu’une capacité de travail entière dans une activité adaptée doit lui être reconnue. Les divers arrêts de travail établis par les médecins traitants au dossier ne sont pas de nature à remettre en cause ce constat, dès lors que l’assuré était encore employé de l’entreprise S.________ SA et qu’il doit être reconnu une incapacité de travail totale dans l’activité habituelle de maçon. Ces arrêts de travail ne se prononcent pas sur la capacité de travail du recourant dans une activité adaptée à ses limitations fonctionnelles. Au demeurant, l’OAI a alloué à ce dernier une rente d’invalidité limitée au 31 décembre 2021, retenant de manière encore plus stricte qu’il était raisonnablement exigible du recourant qu’il exerce une activité adaptée, trois mois avant la fin de ce versement, à savoir dès le mois d’octobre 2021. Le rapport du 21 mars 2023 de la Dre X.________ ne mentionne aucun élément nouveau depuis la décision sur opposition litigieuse. En se fondant sur des limitations fonctionnelles identiques à celles prises en compte par la médecin d’arrondissement de la CNA, la Dre X.________ retient pour sa part une capacité résiduelle de travail du recourant de 40 à 50 % dans une activité professionnelle adaptée aux restrictions. L’avis de la médecin traitant paraît procéder d’une appréciation divergente d’un même état de fait clairement posé sur le plan médical, mais sans avoir effectué un examen clinique, ni pris en considération la nécessité d’une approche globale et circonstanciée du cas, contrairement à l’examen final réalisé par la Dre L.________ en mars 2022. Aussi, la Dre X.________ n’objective pas son appréciation divergente de la capacité de travail résiduelle de son patient.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c) Sur le plan médical, c’est en définitive à juste titre que la CNA a retenu une capacité de travail entière sans diminution de</w:t>
      </w:r>
    </w:p>
    <w:p>
      <w:r>
        <w:t>- 19 - rendement du recourant dans une activité adaptée aux limitations fonctionnelles listées par la Dre L.________. d) Au vu de ce qui précède, il faut constater que les pièces médicales au dossier permettent à la Cour de céans de statuer en pleine connaissance de cause sans qu’il y ait lieu de donner suite à l’expertise requise par le recourant. En effet, de telles mesures ne seraient pas de nature à modifier les considérations qui précèdent, les faits pertinents ayant pu être constatés à satisfaction de droit, en particulier l’ensemble des médecins s’accorde sur les limitations fonctionnelles. La requête du recourant en ce sens doit ainsi être rejetée par appréciation anticipée des preuves (ATF 145 I 167 consid. 4.1 ; 140 I 285 consid. 6.3.1 ; 134 I 140 consid. 5.3 ; 130 II 425 consid. 2.1).</w:t>
      </w:r>
    </w:p>
    <w:p>
      <w:r>
        <w:rPr>
          <w:b/>
        </w:rPr>
        <w:t>E. 8</w:t>
      </w:r>
    </w:p>
    <w:p>
      <w:r>
        <w:t>Doit ensuite être examinée la question du revenu que le recourant peut tirer d’une activité adaptée, fixé sur la base d’une pleine capacité de travail dans une activité adaptée à ses limitations fonctionnelles. a) Pour 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w:t>
      </w:r>
    </w:p>
    <w:p>
      <w:r>
        <w:t>- 20 -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e) aa) Lorsque comme en l’espèce,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w:t>
      </w:r>
    </w:p>
    <w:p>
      <w:r>
        <w:t>- 21 -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9</w:t>
      </w:r>
    </w:p>
    <w:p>
      <w:r>
        <w:t>Le recourant conteste les revenus sans invalidité et d’invalide retenus par la CNA. Selon ses propres calculs, il retient un degré d’invalidité de 15.05 % au minimum. a) S’agissant du revenu sans invalidité, il soutient que le montant de 68'536 fr. retenu par l’intimée en se référant aux chiffres de la Convention nationale du Gros œuvre (CN) du canton de Vaud est inférieur à ses revenus en 2017 et 2018 selon l’extrait individuel AVS, rappelant que l’OAI a pris en compte un montant de 73'600 fr. 92.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En l’espèce, l’intimée était donc en droit de procéder à sa propre estimation de l’invalidité, sans être tenue de reprendre les chiffres de l’OAI. En se fondant sur la moyenne des revenus inscrits au CI de 2015 à 2018, indexée à l’année 2022, on obtient, ainsi que cela ressort du tableau en page 12 du mémoire de réponse du 14 décembre 2022 de</w:t>
      </w:r>
    </w:p>
    <w:p>
      <w:r>
        <w:t>- 22 - l’intimée, un revenu annuel hypothétique de 71'818 francs. Ce montant est supérieur à celui de 68'535 fr. calculé par la CNA en se référant aux données de la Convention nationale du Gros œuvre (CN) du canton de Vaud, si bien qu’il convient de s’y référer et fixer le revenu sans invalidité du recourant à 71'818 francs. b) S’agissant du revenu d’invalide, le recourant fait valoir qu’un montant de 62'527 fr. 47 fr. doit être retenu au titre de revenu sans invalidité tel que pris en compte par l’OAI après un abattement de 10 %, reprochant à l’intimée, d’avoir complètement passé sous silence le fait qu’il est de nationalité portugaise et qu’il dispose de connaissances basiques de la langue française, qu’il n’a aucune formation professionnelle et qu’il a de l’expérience uniquement dans des emplois à caractère physique. Dans sa réplique du 5 avril 2023, il ajoute de manière plus générale que, compte tenu des circonstances, un abattement sur le revenu d’invalide serait justifié. Comme déjà dit ci-avant en lien avec la fixation du revenu sans invalidité, la CNA n’était pas liée par l’évaluation de l’invalidité effectuée par les organes de l’assurance-invalidité. En l’occurrence, l’intimée s’est fondée pour fixer le revenu d'invalide sur le revenu auquel peuvent prétendre les hommes effectuant des activités simples et répétitives dans le secteur privé, tel qu’il ressort de l’Enquête suisse sur la structure des salaires 2018 (ESS), éditée par l’Office fédéral de la statistique (OFS), à savoir un montant mensuel de 5'417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w:t>
      </w:r>
    </w:p>
    <w:p>
      <w:r>
        <w:t>- 23 - salaires bruts standardisés tiennent compte d’un horaire de travail de quarante heures, ce revenu doit dès lors être adapté à la durée hebdomadaire usuelle dans les entreprises en 2018, soit 41,7 heures. Après adaptation à l’évolution des salaires selon l’indice des salaires nominaux pour les hommes de l’année 2019 (+ 0,9 %), 2020 (+ 0,8 %), 2021 (- 0,7 %) et 2022 (+ 1,1 %), le revenu annuel brut s’élève à 69’194 francs. Pour le reste, le recourant ne convainc pas en soutenant qu’un abattement sur le revenu d’invalide se justifie au regard de sa situation personnelle. Tout d’abord, il convient de rappeler que, selon les constatations et conclusions probantes de la Dre L.________ reprises puis suivies par l’intimée dans sa décision, le recourant présente une capacité de travail exigible de 100 % dans une activité adaptée aux limitations fonctionnelles retenues (pas de marche en terrains irréguliers, pas de marche prolongée et/ou répétée, pas d’activités statiques debout, pas de position accroupie ou à genou, pas de montée régulière et répétée de pentes, d’escaliers, d’échelles ou d’échelles d’échafaudage, pas de port de charges lourdes supérieures à 10 ou 15 kg, pas de port de charges en montant ou descendant des escaliers ou lors de déplacements). Or le simple fait que seuls des travaux légers à moyennement lourds soient exigibles ne justifie pas un abattement, car le niveau de compétences 1 de l’ESS comprend déjà un grand nombre d’activités légères et modérément lourdes (8C_48/2021 du 20 mai 2021 consid. 4.3.4 et les références). Quant à l’âge, on rappellera qu’il ne constitue pas per se un facteur de réduction du salaire statistique, et ne justifie donc pas la prise en compte d’un abattement supplémentaire à ce titre. Le fait que le recourant soit de nationalité portugaise ne s’avère pas non plus pertinent, dès lors que les salaires statistiques de l’ESS auxquels la CNA s’est référée sont basés sur les revenus de la population résidente tant suisse qu’étrangère.</w:t>
      </w:r>
    </w:p>
    <w:p>
      <w:r>
        <w:t>- 24 - Quant au critère de la langue, le recourant, habitant en Suisse depuis plus de vingt ans, il ne se justifie pas d’appliquer un abattement supplémentaire à ce titre. Enfin, s’agissant du critère de l’expérience du recourant limitée dans des emplois à caractère physique, il convient de rappeler que la CNA a retenu l’exigibilité de l’exercice d’une activité adaptée, simple et répétitive, de niveau de compétences 1, qui ne requiert ni formation, ni expérience professionnelle spécifique. En outre, tout nouveau travail va de pair avec une période d’apprentissage, de telle sorte qu’il ne se justifie pas de procéder à un abattement supplémentaire à ce titre. c) En retenant un revenu de valide de 71'818 fr. après comparaison avec le revenu d’invalide de 69'194 fr., il en résulte un degré d'invalidité de 3.65 %, arrondi à 4 % (ATF 130 V 121), insuffisant pour ouvrir le droit à une rente d’invalidité de l’assurance-accidents (cf. art. 18 al. 1 LAA).</w:t>
      </w:r>
    </w:p>
    <w:p>
      <w:r>
        <w:rPr>
          <w:b/>
        </w:rPr>
        <w:t>E. 10</w:t>
      </w:r>
    </w:p>
    <w:p>
      <w:r>
        <w:t>a) Mal fondé, le recours doit être rejeté et la décision sur opposition attaquée confirmée. b) Il n’y a pas lieu de percevoir de frais judiciaires (art. 61 let. fbis LPGA), ni d’allouer de dépens au recourant, qui n’obtient pas gain de cause (art. 61 let. g LPGA). L’intimée n’y a pas davantage droit, dès lors qu’elle a agi en qualité d’institution chargée de tâches de droit public (ATF 126 V 143 consid. 4 ; voir également ATF 128 V 323). c) aa)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w:t>
      </w:r>
    </w:p>
    <w:p>
      <w:r>
        <w:t>- 25 - bb) Le recours n’était pas dénué d’emblée de chances de succès, de sorte que la demande d’assistance judiciaire pour la procédure de recours est admise. Le recourant est donc mis au bénéfice de l’assistance judiciaire avec effet au 8 septembre 2022 et Me Charles Munoz lui est désigné comme avocat d’office. Me Charles Munoz peut prétendre une équitable indemnité pour son mandat d’office, qu’il convient de fixer à 2’500 fr., débours et TVA compris (art. 2, 3 al. 2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