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ZA22.035115 vom 13. Februar 2023</w:t>
      </w:r>
    </w:p>
    <w:p>
      <w:r>
        <w:t>VD Tribunal cantonal, 2023-02-13, FR</w:t>
      </w:r>
    </w:p>
    <w:p>
      <w:r>
        <w:rPr>
          <w:b/>
        </w:rPr>
        <w:t xml:space="preserve">Quelle: </w:t>
      </w:r>
      <w:r>
        <w:t>https://mcp.opencaselaw.ch/entscheid/vd_gerichte_ZA22.035115</w:t>
      </w:r>
    </w:p>
    <w:p>
      <w:r>
        <w:t>FR: VD_GERICHTE ZA22.035115 du 13 février 2023</w:t>
      </w:r>
    </w:p>
    <w:p>
      <w:r>
        <w:t>IT: VD_GERICHTE ZA22.035115 del 13 febbraio 2023</w:t>
      </w:r>
    </w:p>
    <w:p>
      <w:pPr>
        <w:pStyle w:val="Heading2"/>
      </w:pPr>
      <w:r>
        <w:t>Erwägungen</w:t>
      </w:r>
    </w:p>
    <w:p>
      <w:r>
        <w:rPr>
          <w:b/>
        </w:rPr>
        <w:t>E. 4</w:t>
      </w:r>
    </w:p>
    <w:p>
      <w:r>
        <w:t>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w:t>
      </w:r>
    </w:p>
    <w:p>
      <w:r>
        <w:t>- 11 -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w:t>
      </w:r>
    </w:p>
    <w:p>
      <w:r>
        <w:t>- 12 -</w:t>
      </w:r>
    </w:p>
    <w:p>
      <w:r>
        <w:rPr>
          <w:b/>
        </w:rPr>
        <w:t>E. 5</w:t>
      </w:r>
    </w:p>
    <w:p>
      <w:r>
        <w:t>a) S’agissant du déroulement des faits survenus le 16 septembre 2021, la déclaration d’accident du 20 octobre 2021 indique que lors d’une formation de self-défense, l’instructeur a tenté une démonstration sur le recourant, en mettant malencontreusement plus de poids que nécessaire sur son omoplate gauche. b) L’intimée laisse entendre qu’il n’y aurait pas lieu d’accorder de présomption de vraisemblance à la déclaration de sinistre, non rédigée de la main du recourant, alors que dans le questionnaire de description reçu par cet assureur le 27 octobre 2021, l’intéressé a répondu par l’affirmative à la question de savoir si l’activité en cause s’était déroulée dans des circonstances extérieures normales, et par la négative à celle de savoir s’il s’était produit un événement particulier. Or, la déclaration de sinistre a été établie avant que le recourant ne complète le questionnaire de description de l’événement en cause et l’on ne discerne en l’occurrence pas pour quels motifs l’employeur aurait fait état d’une description erronée de cet événement. A cela s’ajoute que le recourant a bien indiqué au Dr B.________ lors de la consultation du 1er novembre 2021 – antérieure à la décision de refus de prise en charge du 25 janvier 2022 – qu’il avait « reçu son partenaire […] sur l’omoplate gauche ». Quant à l’IRM de la colonne cervicale du 22 octobre 2021, elle laissait apparaître des « cervico-brachialgies avec probable radiculalgie de C5 à C7 ». Considérés globalement, ces différents éléments concordent dans la description ressortant de la déclaration d’accident, que le recourant a maintenue au stade de l’opposition puis du recours, sans varier. c) La situation du recourant se distingue au demeurant de celles ayant donné lieu aux différents arrêts rendus par la Cour de céans. En premier lieu, celui-ci ne pratiquait pas le jujitsu, sport dans lequel un placage au sol, même violent, entre dans l’activité habituelle. Contrairement en outre à la cause AA 90/11 – 98/2012 du 19 octobre 2012, le recourant a en l’occurrence immédiatement ressenti une douleur, qu’il a attribuée au fait que le moniteur avait mis plus de poids que nécessaire sur la partie supérieure gauche de son corps. De même, il n’est pas question ici (contrairement à la cause AA 62/10 – 118/2011 du 28</w:t>
      </w:r>
    </w:p>
    <w:p>
      <w:r>
        <w:t>- 13 - octobre 2011) d’un faux mouvement que l’assuré aurait effectué lui- même, mais bien de l’impact du mouvement – excessif – d’un tiers sur sa personne, sans que le recourant ne puisse le contrôler. Il y a ainsi lieu de retenir, au degré de la vraisemblance prépondérante, que l’exercice de self-défense en cause ne s’est pas déroulé comme prévu, l’atteinte subie par le recourant ne constituant pas un événement usuel lors de la pratique de la self-défense ni la réalisation d’un risque inhérent à cette pratique. d) Il s’ensuit que l’événement survenu le 16 septembre 2021 répond à la notion d’accident au sens de l’art. 4 LPGA en satisfaisant à l’exigence d’un facteur extérieur extraordinaire, seule exigence légale disputée en l’occurrence par les parties. Il n’est par conséquent pas nécessaire d’examiner si l’on est en présence ou non d’une lésion assimilée à un accident au sens de l’art. 6 al. 2 LAA.</w:t>
      </w:r>
    </w:p>
    <w:p>
      <w:r>
        <w:rPr>
          <w:b/>
        </w:rPr>
        <w:t>E. 6</w:t>
      </w:r>
    </w:p>
    <w:p>
      <w:r>
        <w:t>a) En définitive, le recours est admis et la décision sur opposition du 18 août 2022 annulée, la cause étant renvoyée à l’intimée pour qu’elle examine si les autres conditions du droit aux prestations sont remplies et statue à nouveau. b) Il n’y a pas lieu de percevoir de frais judiciaires, la procédure étant gratuite (art. 61 let. a LPGA). c) Vu le sort de ses conclusions, la partie recourante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