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ZA22.034072 vom 5. Dezember 2024</w:t>
      </w:r>
    </w:p>
    <w:p>
      <w:r>
        <w:t>VD Tribunal cantonal, 2024-12-05, FR</w:t>
      </w:r>
    </w:p>
    <w:p>
      <w:r>
        <w:rPr>
          <w:b/>
        </w:rPr>
        <w:t xml:space="preserve">Quelle: </w:t>
      </w:r>
      <w:r>
        <w:t>https://mcp.opencaselaw.ch/entscheid/vd_gerichte_ZA22.034072</w:t>
      </w:r>
    </w:p>
    <w:p>
      <w:r>
        <w:t>FR: VD_GERICHTE ZA22.034072 du 5 décembre 2024</w:t>
      </w:r>
    </w:p>
    <w:p>
      <w:r>
        <w:t>IT: VD_GERICHTE ZA22.034072 del 5 dicembre 2024</w:t>
      </w:r>
    </w:p>
    <w:p>
      <w:pPr>
        <w:pStyle w:val="Heading2"/>
      </w:pPr>
      <w:r>
        <w:t>Erwägungen</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w:t>
      </w:r>
    </w:p>
    <w:p>
      <w:r>
        <w:t>- 9 -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ou de troubles qui ne sont pas objectivables du point de vue organique, on examine les critères de la causalité adéquate en excluant les aspects psychiques (ATF 115 V 133</w:t>
      </w:r>
    </w:p>
    <w:p>
      <w:r>
        <w:t>- 10 - consid. 6c/aa ; 115 V 403 consid. 5c/aa ; TF 8C_867/2015 du 20 avril 2016 consid. 4.2 ; TF 8C_445/2013 du 27 mars 2014 consid. 4.3.1),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 cf. également ATF 134 V 109 consid. 9.5 ; TF 8C_957/2008 du 1er mai 2009 consid. 4.2 ; TF 8C_124/2007 du 20 mai 2008 consid. 3.2 ; TF 8C_591/2007 du 14 mai 2008 consid. 3.1).</w:t>
      </w:r>
    </w:p>
    <w:p>
      <w:r>
        <w:rPr>
          <w:b/>
        </w:rPr>
        <w:t>E. 4</w:t>
      </w:r>
    </w:p>
    <w:p>
      <w:r>
        <w:t>Il n'existe aucun autre diagnostic permettant de mieux expliquer les symptômes et les signes cliniques. b) Pour admettre un lien de causalité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w:t>
      </w:r>
    </w:p>
    <w:p>
      <w:r>
        <w:t>- 12 - b) l’absence d’un autre facteur causal de nature non traumatique (par ex. état après infarctus du myocarde, après une apoplexie, etc.) ; c) une courte période de latence entre l’accident et l’apparition de l’algodystrophie, soit au maximum six à huit semaines.</w:t>
      </w:r>
    </w:p>
    <w:p>
      <w:r>
        <w:rPr>
          <w:b/>
        </w:rPr>
        <w:t>E. 5</w:t>
      </w:r>
    </w:p>
    <w:p>
      <w:r>
        <w:t>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- 13 - bien son contenu (ATF 134 V 231 consid. 5.1 ; 125 V 351 consid. 3a et les références citées ; TF 8C_510/2020 du 15 avril 2021 consid. 2.4). c) Dans le contexte de la suppression du droit à des prestations, la règle selon laquelle le fardeau de la preuve appartient à la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8C_383/2018 du 10 décembre 2018 consid. 3.2).</w:t>
      </w:r>
    </w:p>
    <w:p>
      <w:r>
        <w:rPr>
          <w:b/>
        </w:rPr>
        <w:t>E. 6</w:t>
      </w:r>
    </w:p>
    <w:p>
      <w:r>
        <w:t>a) En l’espèce, la recourante a été victime le 31 août 2020 d’un accident de la circulation routière, qui lui a causé une fracture de l’extrémité distale du radius gauche associée à une fracture de la styloïde ulnaire. Ces lésions ont été opérées le 3 septembre 2020 à l’Hôpital de [...], par le biais d’une réduction ouverte et d’une ostéosynthèse. La matériel d’ostéosynthèse a été retiré le 26 mai 2021 par la Dre G.________ après consolidation de la fracture. Dans les suites de son accident, la recourante a souffert de douleurs chroniques diffuses au poignet gauche avec irradiation jusqu’à l’épaule (cf. les rapports des 13 octobre et 20 novembre 2020 et 4 janvier 2021 de la Dre G.________ et le rapport du 14 janvier 2021 du Dr N.________). Parmi les différents médecins consultés par la recourante, il existe un consensus selon lequel elle a développé un SDRC de type I du membre supérieur gauche (cf. les rapports des 21 janvier, 23 février, 23 mars, 24 août, 21 septembre et 22 octobre 2021 du Dr N.________ ; des 26 janvier, 17 février et 9 juin 2021 de la Dre G.________ ; du 2 février 2021 du Dr K.________ ; du 19 avril 2021 du Dr M.________ ; du 21 octobre 2021 du Dr Q.________ ; du 7 décembre 2021</w:t>
      </w:r>
    </w:p>
    <w:p>
      <w:r>
        <w:t>- 14 - du Dr T.________). Les avis de ces médecins divergeaient en revanche quant au point de savoir si ce syndrome était toujours présent à la fin de l’année 2021. Ainsi, le Dr N.________ estimait, dans son rapport du 21 septembre 2021, que le SDRC était en rémission à cette date, dans la mesure où la scintigraphie osseuse réalisée le 1er septembre 2021 attestait de la disparition de ses signes évocateurs et montrait une normalisation quasi-complète de la fixation au niveau du membre supérieur gauche. Le Dr T.________, pour sa part, considérait, dans son rapport d’expertise, que cette maladie était aujourd’hui guérie au regard d’« une scintigraphie osseuse du 01.09.2021 normale » et que la recourante souffrait désormais d’un syndrome douloureux du membre supérieur gauche sans substratum anatomique. A l’inverse, le Dr Z.________ soutenait, dans son rapport du 21 janvier 2022, que la situation neurologique était compatible avec un SDRC de type I. La Dre J.________, quant à elle, était d’avis, dans son rapport du 20 août 2022, que la recourante remplissait toujours les critères de Budapest. b) Cela étant, il apparaît que les conclusions des Drs N.________ et T.________ écartant le diagnostic de SDRC ne se fondent pas sur un examen détaillé des critères de Budapest, mais semblent bien plutôt reposer sur le seul résultat de la scintigraphie osseuse du 1er septembre 2021. Or le Tribunal fédéral a eu l’occasion de préciser que ces critères sont exclusivement cliniques et ne laissent que peu de place aux examens radiologiques (radiographie, scintigraphie, IRM [imagerie par résonance magnétique]), l’utilisation de l’imagerie faisant à cet égard l’objet d’une controverse dans le milieu médical (cf. en particulier : TF 8C_71/2024 du 30 août 2024 consid. 6.2 ; TF 8C_316/2023 du 6 mars 2024 consid. 4.1 ; TF 8C_416/2019 du 15 juillet 2020 consid. 5.1). Le Dr T.________, dans son rapport d’expertise du 7 décembre 2021, n’a par ailleurs pas analysé de manière systématique et détaillée la problématique du SDRC, se contentant uniquement d’affirmer, sans plus d’explication, que les « critères de Budapest 2010 pour ce diagnostic [n’étaient] actuellement [pas] réunis », alors même qu’il était admis qu’il s’agissait de l’atteinte principale dont souffrait la recourante. Cette conclusion péremptoire est d’autant plus critiquable que celle-ci lui a fait</w:t>
      </w:r>
    </w:p>
    <w:p>
      <w:r>
        <w:t>- 15 - part, lors de l’examen, d’une sensibilité exacerbée (douleurs à type d’aiguilles, fourmillements et décharges électriques), de l’apparition de gonflements ainsi que d’un manque de force au membre supérieur gauche. Il apparaît donc difficile de retenir que le SDRC ne jouait plus de rôle sur l’état de santé de la recourante au moment où l’intimée a décidé de mettre un terme au versement de ses prestations. Dans ces conditions, le rapport d’expertise du Dr T.________ ne saurait revêtir une force probante suffisante pour justifier la fin de l’obligation de prester de l’intimée. c) Au contraire, à la lumière des pièces au dossier, force est de constater que les différents médecins consultés par la recourante ont mentionné – de façon constante – les signes évocateurs d’une pathologie inchangée. Le Dr N.________ a ainsi observé, dans son rapport du 24 août 2021, des douleurs au membre supérieur gauche, lesquelles étaient associées à des symptômes de type neurogène au niveau de la main, tels que, notamment, une paresthésie, une sensation de chaleur et des picotements. Le Dr Q.________ a, lui, mis en évidence, dans son rapport du 21 octobre 2021, des douleurs aux épaule, coude et poignet gauches de même que des paresthésies, des chaleurs du poignet et de la main, des brûlures et une transpiration excessive. Les ergothérapeutes de la B.________ ont, pour leur part, décrit, dans leur rapport du 1er avril 2022, des douleurs importantes au niveau de l’avant-bras gauche avec une sensation de chaleur, des fourmillements, des faiblesses (lâchage d’objets) et surtout une perte de sensibilité et des décharges électriques. Enfin, la Dre J.________ – laquelle a ausculté à deux reprises la recourante en juillet 2022 – a exposé, dans son rapport du 20 août 2022, que sa patiente n’avait jamais cessé de se plaindre des mêmes douleurs au membre supérieur gauche, dont le caractère s’avérait toujours de nature neuropathique. Procédant à un examen des critères de Budapest lors des deux consultations, elle avait à chaque fois retrouvé le même résultat, à savoir : pour le premier critère, une douleur continue, régionale, spontanée et provoquée, laquelle était disproportionnée par rapport à la lésion initiale ; pour le deuxième critère (anamnestique), une allodynie, une asymétrie de sudation ainsi que de température et de coloration de la</w:t>
      </w:r>
    </w:p>
    <w:p>
      <w:r>
        <w:t>- 16 - peau et une diminution de la mobilité, avec des faiblesses et des tremblements occasionnels ; pour le troisième critère (clinique), une allodynie (à la pression profonde) de même qu’une claire asymétrie de force à la préhension de la main, l’apparition de tremblements après deux minutes d’effort et un amaigrissement des parties molles de la main ; et pour le quatrième critère, une douleur non expliquée par un autre diagnostic. d) Certes, une atteinte neurologique n’a pas pu être objectivée, le Dr Z.________ l’ayant exclue sur le base d’un électroneuromyogramme (ENMG), comme cela ressort de son rapport du 21 janvier 2022. Il n’en demeure toutefois pas moins que la situation clinique de la recourante n'a pas fondamentalement évolué postérieurement au mois de décembre 2021, de sorte que le résultat de ce test ne saurait, à lui seul, justifier la disparition du lien de causalité avec l’accident du 31 août 2020. e) Dès lors, sur le vu de ce qui précède, il apparaît que, à la fin de l’année 2021, la recourante souffrait encore de symptômes liés à la pathologie diagnostiquée plusieurs mois plus tôt. Le lien de causalité naturelle (et adéquat) entre l’accident du 31 août 2020 et cette pathologie n’était donc manifestement pas rompu et le statu quo ante n’était pas atteint. Il s’ensuit que c’est à tort que l’intimée a décidé de mettre un terme au versement de ses prestations au 31 décembre 2021. f) A noter à toutes fins utiles que la mise en œuvre d’une expertise, dans le but de confronter les constatations des différents médecins consultés par la recourante, ne se justifie pas dans le cas présent. En effet, comme expliqué ci-dessus (cf. supra consid. 4a), le diagnostic de SDRC repose principalement sur la description de symptômes (ce que la personne ressent) et l’observation de signes cliniques (ce que le médecin constate effectivement). Aussi, compte tenu de l’importance prépondérante des examens cliniques pour établir ce diagnostic, il semble extrêmement difficile, voire impossible, pour des</w:t>
      </w:r>
    </w:p>
    <w:p>
      <w:r>
        <w:t>- 17 - experts de se prononcer sur l’existence d’une telle pathologie plus de trois ans après les faits litigieux.</w:t>
      </w:r>
    </w:p>
    <w:p>
      <w:r>
        <w:rPr>
          <w:b/>
        </w:rPr>
        <w:t>E. 7</w:t>
      </w:r>
    </w:p>
    <w:p>
      <w:r>
        <w:t>a) En définitive, le recours, bien fondé, doit être admis et la décision sur opposition rendue le 27 juin 2022 par l’intimée annulée. b) Il n’y a pas lieu de percevoir de frais judiciaires (art. 61 let. fbis LPGA). c) Vu le sort de ses conclusions, la partie recourante a droit à une indemnité de dépens à titre de participation aux honoraires de sa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