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ZA22.028482 vom 17. Januar 2023</w:t>
      </w:r>
    </w:p>
    <w:p>
      <w:r>
        <w:t>VD Tribunal cantonal, 2023-01-17, FR</w:t>
      </w:r>
    </w:p>
    <w:p>
      <w:r>
        <w:rPr>
          <w:b/>
        </w:rPr>
        <w:t xml:space="preserve">Quelle: </w:t>
      </w:r>
      <w:r>
        <w:t>https://mcp.opencaselaw.ch/entscheid/vd_gerichte_ZA22.028482</w:t>
      </w:r>
    </w:p>
    <w:p>
      <w:r>
        <w:t>FR: VD_GERICHTE ZA22.028482 du 17 janvier 2023</w:t>
      </w:r>
    </w:p>
    <w:p>
      <w:r>
        <w:t>IT: VD_GERICHTE ZA22.028482 del 17 gennaio 2023</w:t>
      </w:r>
    </w:p>
    <w:p>
      <w:pPr>
        <w:pStyle w:val="Heading2"/>
      </w:pPr>
      <w:r>
        <w:t>Volltext</w:t>
      </w:r>
    </w:p>
    <w:p>
      <w:r>
        <w:t>TRIBUNAL CANTONAL AA 81/22 - 6/2023 ZA22.028482 CO UR DE S ASSURANCES S OCIALES _____________________________________________ Arrêt du 17 janvier 2023 __________________ Composition : Mme BERBERAT, présidente MM. Reinberg et Riesen, assesseurs Greffier : M. Germond ***** Cause pendante entre : A._________, à [...], recourant, représenté par Me Alain Ribordy, avocat à Fribourg, et CAISSE NATIONALE SUISSE D'ASSURANCE EN CAS D'ACCIDENTS, à Lucerne, intimée, représentée par Me Antoine Schöni, avocat à Bienne. _______________ Art. 29 al. 2 Cst. ; 43 al. 1 et 61 let. c LPGA ; 6, 18 al. 1, 19 al. 1, 24 et 25 LAA ; 36 OLAA 402</w:t>
      </w:r>
    </w:p>
    <w:p>
      <w:r>
        <w:t>- 2 - E n f a i t : A. A._________ (ci-après : l’assuré ou le recourant), né le [...], travaillait depuis le 20 mai 2016 comme aide-peintre pour le compte de la société J.________ Sàrl, à [...]. A ce titre, il était assuré contre les accidents auprès de la Caisse nationale suisse d’assurance en cas d’accidents (ci- après : la CNA ou l’intimée). Le 24 mai 2016, l’assuré a été victime d’un accident professionnel ; il a glissé en descendant une échelle et est tombé sur les genoux ce qui a causé une lésion méniscale horizontale de la corne moyenne et de la corne postérieure du ménisque interne du genou gauche avec présence d’une languette associée à une chondropathie de stade II du condyle fémoral interne et de stade I du tibia interne du genou gauche (protocole opératoire du 8 juin 2016 signé par le Dr O._________, spécialiste en chirurgie orthopédique et traumatologie de l'appareil locomoteur). Le travail a été interrompu depuis le 25 mai 2016. La CNA a pris en charge le cas. L’assuré a bénéficié d’une méniscectomie interne partielle avec ablation de la languette méniscale, régularisation du ménisque par arthroscopie du genou gauche (protocole opératoire du 8 juin 2016) et d’une méniscectomie interne par arthroscopie du genou gauche, injection de 80mg de Depo-Medrol® (protocole opératoire du 28 septembre 2016) effectuées par le Dr O._________. Dans un courrier médical du 17 mars 2017 à la CNA, le Dr O.________, spécialiste en chirurgie orthopédique et traumatologie de l'appareil locomoteur, a posé les diagnostics de status post deux arthroscopies du genou gauche pour méniscectomie [partielle] et toilette articulaire interne ainsi qu’un bilan de chondropathie post traumatique du condyle fémoral interne (8 juin et 28 septembre 2016) et de chute dans les escaliers le 24 mai 2016 provoquant des lésions ostéochondrales du condyle fémoral interne ainsi qu’une déchirure méniscale interne du</w:t>
      </w:r>
    </w:p>
    <w:p>
      <w:r>
        <w:t>- 3 - genou gauche. Ce médecin était d’avis que l’assuré était apte à travailler à 100 % dans un poste adapté à l’état de son genou gauche. Le 17 mai 2017, l’assuré a subi une ostéotomie de valgisation tibiale gauche réalisée par le Dr O._________. L’assuré a ensuite été examiné le 1er novembre 2017 par le Dr P.________, spécialiste en chirurgie et médecin d’arrondissement de la CNA. Ce médecin a noté une discordance entre le vécu d’une situation catastrophique chez l’assuré au « psychisme un peu particulier » et les constatations objectives d’un examen radio-clinique du genou gauche du 3 octobre 2017 qui se voulaient rassurantes. Le Dr P.________ a recommandé un séjour de l’assuré auprès de la Clinique romande de réadaptation (CRR) de Sion, en vue d’une évaluation stationnaire et multidisciplinaire. Du 21 novembre au 20 décembre 2017, l’assuré a séjourné au sein du Service de réadaptation de l’appareil locomoteur de la CRR. Dans un rapport de sortie du 27 décembre 2017, les Drs S.________, spécialiste en médecine physique et réadaptation, et E.___________, médecin- assistante, ont mis en évidence une série de limitations fonctionnelles provisoires (positions contraignantes pour le genou gauche notamment : accroupissement, position agenouillé, montée et descente de manière répétitive les escaliers et les échelles, marche prolongée, port de charge excédant un port de charge moyen entre 15-25 kg, de manière répétitive). Ils ont estimé que la situation n’était pas encore stabilisée du point de vue médical. Toutefois, moyennant la poursuite de la physiothérapie afin de maintenir les acquis voire de faire progresser la condition physique, une amélioration dans le sens d’une stabilisation de l’état de santé était attendue dans un délai de deux à quatre mois. Sous la réserve d’une ablation du matériel d’ostéosynthèse (AMO) une fois l’ostéotomie consolidée, aucune nouvelle intervention n’était préconisée. Ils ont précisé que le pronostic de réinsertion dans une activité adaptée aux restrictions fonctionnelles était favorable et que l’on pouvait s’attendre à une capacité de travail entière dans une telle activité. A leur avis, des facteurs non</w:t>
      </w:r>
    </w:p>
    <w:p>
      <w:r>
        <w:t>- 4 - médicaux étaient susceptibles de ralentir le processus de réinsertion professionnelle. Le 21 février 2018, une ablation du matériel d’ostéosynthèse (AMO) a été pratiquée (protocole opératoire du 22 février 2018 du Dr O._________). Le 18 mai 2018, l’assuré a bénéficié d’une troisième arthroscopie et méniscectomie partielle de la corne postérieure du ménisque interne réalisée par le Dr O._________. A cette occasion, une chondropathie de stade III du compartiment interne du genou gauche a été constatée. Dans le cadre de l’instruction du cas, la CNA a confié la réalisation d’une expertise médicale de l’assuré aux Drs C.________, spécialiste en chirurgie orthopédique et traumatologie de l'appareil locomoteur, et K.________, médecin. Dans leur rapport du 27 août 2020, ces experts ont répondu comme suit aux questions de la CNA : “Question 1 Peut-on au degré de la vraisemblance prépondérante, attendre, de la poursuite du traitement une amélioration notable de l’état de santé en rapport avec l’accident ? Si oui, par quelle mesure de traitement ? Actuellement, Monsieur A._________ bénéficie de séances bi- hebdomadaire de physiothérapie, à but antalgique et d’assouplissement de la chaîne latérale. Les douleurs étant imputables à l’importante chondropathie en miroir sur le versant interne (correspondant à une arthrose fémoro-tibiale médiale), la physiothérapie ne permettra probablement pas une amélioration des symptômes du compartiment interne et ne restaurera pas la capacité de travail antérieure à l’accident. Il bénéficie également d’un traitement médicamenteux, qui pourrait être complété par un dérivé d’opiacé de façon ponctuelle, lors d’épisodes d’exacerbation de douleurs. Question 2 Au regard de séquelles accidentelles, quelles activités et fonctions/positions peuvent encore être exigées de la personne assurée ? Au vu des douleurs constatées, augmentées à la charge, avec un périmètre de marche à 30 minutes et nécessitant un moyen auxiliaire pour les moyens et longs trajets, toutes activités en station debout prolongée ou nécessitant des déplacements ne peuvent être exigées, ainsi que celles requérant des positions avec contraintes</w:t>
      </w:r>
    </w:p>
    <w:p>
      <w:r>
        <w:t>- 5 - importantes sur les genoux (accroupissement, genoux au sol, montées d’escaliers ou d’échelles). Une activité en position assise est à privilégier. Question 3 La personne assurée peut-elle exercer, à plein temps, une fonction adaptée aux séquelles accidentelles et/ou des limitations horaires telles que pause, prolongation de l’arrêt de midi, travail à la demi- journée, etc. sont-elles nécessaires (estimation chiffrée) ? En cas d’activité de travail physique ou semblable à son ancienne activité d’aide-peintre, la capacité de travail est nulle en raison des contraintes physiques, même en cas d’adaptation d’horaires. Dans une profession adaptée (position assise, travail de bureau), une adaptation de temps de travail ne serait pas nécessaire et il pourrait effectuer une activité à temps plein (100%). Question 4 Les atteintes en relation de causalité vraisemblable avec l’accident précité, constituent-elles une atteinte à l’intégrité physique durable ? Oui. Si oui, de quel degré ? Prière de motiver votre appréciation en référence à l’annexe 3 (art. 36 al. 2) OLAA et aux « Tables concernant les atteintes à l’intégrité selon la LAA » de la Suva. En nous référant au tableau 5 : atteinte à l’intégrité résultant d’arthroses, disponible sur la documentation en ligne de la SUVA, nous relevons un taux d’atteinte à l’intégrité de 5-15% pour une arthrose fémoro-tibiale médiale. En effet, Monsieur A._________ ne présente pas une perte totale de l’usage de son membre inférieur gauche, mais l’accident et les conséquences qui en découlent ont évolué en une arthrose fémoro- tibiale médiale post-traumatique. Question 5 Des traitements sont-ils nécessaires à la conservation ou à l’amélioration de la capacité résiduelle de travail ? Non. Des traitements sont-ils nécessaires au maintien d’état de santé actuel ? Oui. Cas échéant, quel traitement préconisez-vous ? Une approche non-chirurgicale consisterait en une poursuite de la physiothérapie d’entretien en cas d’apparition d’épanchement, de diminution de la mobilité ou d’apparition de douleurs autres que celle du compartiment interne. Des injections intra-articulaires d’acide hyaluronique et/ou de PRP (Plasma Riche en Plaquettes) sont des options thérapeutiques également. Du point de vue chirurgical, deux approches pourraient être envisagées, sans pour autant atteindre le même état qu’avant l’accident, mais permettant de maintenir l’état de santé actuel ou de diminuer les douleurs de genou à la charge, avec une probable amélioration des sous-catégories du score de KOOS, hormis les activités sportives et de loisirs. La greffe méniscale : l’allogreffe méniscale, à partir de donneurs cadavériques, est une technique chirurgicale développée depuis</w:t>
      </w:r>
    </w:p>
    <w:p>
      <w:r>
        <w:t>- 6 - presque 20 ans mais encore peu pratiquée, car hautement technique et à coût élevé. Selon le groupe d’experts IMREF (International Meniscus Reconstruction Experts Forum) qui s’est réuni en 2015, les indications suivantes pour une allogreffe méniscale ont été retenues : - Douleurs unicompartimentale en présence d’une méniscectomie totale ou subtotale « fonctionnelle » : il s’agit du cas de Monsieur A._________. - Procédure concomitante à une révision de reconstruction de LCA afin d’augmenter la stabilité articulaire, lorsque un défaut de stabilisation par le ménisque atteint a contribué à l’échec. - Procédure concomitante à une réparation de cartilage articulaire dans un compartiment sans ménisque fonctionnel. Les résultats attendus sont les suivants : amélioration des douleurs, restauration de la biomécanique articulaire, amélioration de la fonction du genou, prévention de l’arthrose. A noter toutefois qu’il s’agit d’une procédure nécessitant une réhabilitation bien suivie sur plusieurs mois et que la présence d’une arthrose radiologique stade 3 ou plus selon Kellgren &amp; Lawrence est une contre-indication relative, avec une durée de survie diminuée de la greffe et un risque de reprise chirurgicale (20% à 4.6 ans en moyenne). Dans ce contexte, cette option pourrait être envisagée comme procédure de sauvetage avant une solution prothétique. L’arthroplastie unicompartimentale du genou : elle est indiquée dans les arthroses unicompartimentales médiales. Elle est moins invasive et présente une moindre morbidité péri-opératoire comparée à une prothèse totale du genou, avec de bons résultats fonctionnels et une diminution des douleurs. Toutefois, le taux de révision est plus élevé chez les sujets de moins de 60 ans, et la survie avant révision varie entre 84.1% à 10 ans et 69.6% à 15 ans selon les registres. Chez un sujet jeune avec une arthrose secondaire, cette option devrait être gardée en dernière intention, dans des stades avancés.” Le 27 octobre 2021, les Drs C.________ et K.________ ont établi un complément d’expertise à la demande de la CNA du 7 juin 2021. Ces experts ont précisé qu’ils n’avaient pas besoin de prendre connaissance d’un rapport de consultation du 31 mai 2016 pour répondre aux questions d’expertise qui ne concernaient pas les indications chirurgicales. Ensuite, ils ont estimé avec précision le taux de l’atteinte à l’intégrité de l’assuré à 7,5 % en présence d’une arthrose fémoro-tibiale médiale de degré moyen d’une atteinte de grade III selon Kellgren &amp; Lawrence touchant uniquement le compartiment fémoro-tibial médial du genou gauche. Par courrier du 24 décembre 2021, la CNA a informé Me Alain Ribordy, conseil de l’assuré, qu’elle mettrait fin à la prise en charge du traitement médical et aux indemnités journalières au 31 janvier 2022. Elle</w:t>
      </w:r>
    </w:p>
    <w:p>
      <w:r>
        <w:t>- 7 - statuerait ultérieurement sur le droit à d’éventuelles autres prestations de l’assurance-accidents. Après avoir procédé aux mesures d’instruction idoines (pièces 357 à 359), la CNA a, par décision du 3 mars 2022, refusé à l’assuré le droit à une rente d’invalidité de l’assurance-accidents en l’absence de diminution notable de la capacité de gain due à l’accident du 24 mai 2016. Les limitations fonctionnelles retenues consistaient en une activité sans port de charges lourdes, sans importants déplacements ou utilisation d’escaliers/échelles ni de positions debout prolongée, agenouillée ou accroupie et pouvant s’effectuer principalement en position assise. Conformément à l’art. 16 LPGA (loi fédérale du 6 octobre 2000 sur la partie générale du droit des assurances sociales ; RS 830.1), il résultait de la comparaison entre le revenu sans invalidité (67'759 fr.) que l’assuré aurait pu réaliser en bonne santé dans sa dernière activité et le revenu d’invalide (65'608 fr.), calculé sur la base des chiffres du niveau de compétence 1 de l’Enquête suisse sur la structure des salaires (ESS) pour un homme et en tenant compte d’un abattement de 5 % pour les limitations fonctionnelles, une perte de gain de 3,17 %, taux insuffisant pour ouvrir le droit à la rente. La CNA a, en revanche, alloué à l’assuré une indemnité pour atteinte à l’intégrité (IPAI) d’un montant de 11'115 fr. (taux de 7,5 % sur la base d’un gain assuré de 148'200 fr. en 2016). Cette prestation a été versée le jour même à son bénéficiaire. A l’appui de son opposition formée les 18 mars et 19 mai 2022 contre cette décision, l’assuré, agissant par son conseil, a contesté la valeur probante du rapport d’expertise du 27 août 2020 et son complément du 27 octobre 2021. Ce faisant, il a soutenu que l’état médical n’était pas stabilisé, que la capacité résiduelle de gain était nulle et qu’un taux d’abattement nettement insuffisant était retenu sur le revenu d’invalide sans mise en œuvre préalable des mesures de réadaptation par l’Office de l’assurance-invalidité pour le canton de Vaud. Il faisait également valoir que le taux d’atteinte à l’intégrité de 7,5 % ne tenait pas compte de l’aggravation prévisible. Il demandait à la CNA de lui verser des indemnités journalières depuis le 1er février 2022 jusqu’à la stabilisation de l’état de santé qu’il convenait de déterminer par des</w:t>
      </w:r>
    </w:p>
    <w:p>
      <w:r>
        <w:t>- 8 - mesures d’instruction supplémentaires, et subsidiairement, le droit à une rente d’invalidité au taux de 100 % depuis le 1er février 2022, ainsi qu’une indemnité pour atteinte à l’intégrité de 30 %, justifiant un versement supplémentaire de 33'345 fr. en sa faveur. Il a notamment joint en annexe, un rapport d’IRM du genou gauche du 6 mai 2022 du DrL.________, spécialiste en radiologie, qui mentionne notamment ce qui suit : “Conclusion : 1. Petit épanchement intra-articulaire avec infiltration de la graisse supra-patellaire et petit plica supra-patellaire. 2. Chondropathie fémoro-patellaire prédominant en interne montrant principalement des lésions de grade II au niveau de la facette interne. Il y a par contre des légers remaniements dégénératifs avec des signes de chondropathie fémoro-tibiale prédominant en interne montrant des lésions de grade III voire même IV au niveau du plateau tibial et surtout du condyle fémoral interne à hauteur de la zone de charge montrant une légère extension antérieure avec altération marquée de la quasi- totalité de l’épaisseur du cartilage à ce niveau. Il y a des signes d’œdème osseux en regard. 3. Epaississement inflammatoire de la région antéro-supérieure mais surtout inférieure du ligament collatéral interne et principalement antéro-supérieure et principalement inférieure du ligament collatéral externe qui reste par ailleurs continu. Probables séquelles de petite déchirure partielle des fibres postéro-supérieures du ligament croisé antérieur qui reste continu. 4. Remaniements avec stigmates de probable méniscectomie partielle de la corne postérieure du ménisque interne avec petit lambeau méniscal bordant le probable site de méniscectomie faisant suspecter un probable lambeau libre millimétrique du bord supérieur se prolongeant jusqu’à hauteur de la jonction avec le site du corps méniscal. Il y a également une suspicion d’une petite déchirure millimétrique en coronal visualisée au niveau du bord supérieur du fragment restant de la corne postérieure du ménisque interne versus une petite suture chirurgicale. 5. Remaniements d’allure inflammatoire à hauteur de l’insertion des tendons de la patte d’oie.” Par décision sur opposition du 5 juillet 2022, la CNA a rejeté l’opposition formée par l’assuré contre sa décision du 3 mars 2022. B. Par acte du 14 juillet 2022, A._________, représenté par Me Alain Ribordy, a déféré la décision sur opposition précitée à la Cour des assurances sociales du Tribunal cantonal. Il critique la valeur probante de l’expertise et le fait que l’intimée n’a pas tenu compte d’un rapport d’IRM</w:t>
      </w:r>
    </w:p>
    <w:p>
      <w:r>
        <w:t>- 9 - du 6 mai 2022 qui démontrerait une nette aggravation de la chondropathie depuis le mois d’août 2020 et l’apparition de nouvelles lésions ligamentaires. Il se plaint d’une violation de l’art. 19 al. 1 LAA (loi fédérale du 20 mars 1981 sur l’assurance-accidents ; RS 832.20) en contestant la stabilisation de son état de santé avec le passage à la rente dès le 1er février 2022 et du droit d’être entendu en lien avec les questions complémentaires soumises aux experts par la CNA. Il estime dès lors que l’atteinte au genou gauche n’est pas encore stabilisée. Ce faisant, il conclut à la reprise du versement des indemnités journalières depuis le 1er février 2022 jusqu’à la stabilisation de l’état médical, subsidiairement à l’octroi d’une rente d’invalidité de 100 % et au versement d’une indemnité pour atteinte à l’intégrité de 30 %. Dans sa réponse du 16 septembre 2022, sous la plume de l’avocat Antoine Schöni, la CNA conclut au rejet du recours et à la confirmation de la décision sur opposition querellée. Elle observe d’abord que l’état de santé du recourant est stabilisé sur la base du rapport d’expertise dont la valeur probante n’est pas valablement remise en cause par d’autres éléments médicaux objectifs figurant au dossier. L’intimée souligne en outre que les freins à la reprise d’une activité adaptée liés à l’absence de formation et d’expérience spécifique n’ont pas à être pris en considération dans le calcul du revenu d’invalide, étant d’avis que l’abattement de 5 % retenu tient suffisamment compte des limitations fonctionnelles et leurs effets sur les perspectives salariales du recourant ; le taux d’invalidité de 3 % doit dès lors être confirmé. Enfin, le taux de l’atteinte à l’intégrité de 7,5 % pour une atteinte touchant uniquement le compartiment fémoro-tibial du genou gauche tel que fixé par les experts n’est pas critiquable en l’absence d’élément médical objectif remettant en cause cette estimation médicale. Le 10 octobre 2020, en réplique, maintenant ses précédentes conclusions, le recourant a insisté sur sa requête tendant à obtenir un rapport du service de chirurgie orthopédique de l’[...] consécutif à une consultation du 15 juillet 2022, et subsidiairement la mise en œuvre d’une nouvelle expertise.</w:t>
      </w:r>
    </w:p>
    <w:p>
      <w:r>
        <w:t>- 10 - Au terme de sa duplique reçue le 3 novembre 2022, l’intimée renonce à se déterminer plus avant en renvoyant à son mémoire de réponse du 16 septembre 2022 dont les conclusions sont intégralement confirmées. Il sera pour le surplus fait état des arguments développés par les parties à l’appui de leurs conclusions, dans les considérants de droit du présent arrêt.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qu’il convient d’examiner en premier lieu, le recourant se plaint d’une violation de son droit d’être entendu en lien avec la participation à l’administration des preuves, au motif que le questionnaire soumis aux experts (sans consultation préalable du recourant) reprenait de manière très partielle les questions posées dans la détermination du 23 octobre 2020 (pièce 321).</w:t>
      </w:r>
    </w:p>
    <w:p>
      <w:r>
        <w:t>- 11 - a) La jurisprudence a déduit du droit d’être entendu (art. 29 al. 2 Cst. [Constitution fédérale de la Confédération suisse du 18 avril 1999 ; RS 101]), en particulier, le droit de chaque personne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références citées). Le droit d’être entendu garanti par l’art. 29 al. 2 Cst.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matière d’assurances sociales, la procédure est régie par le principe inquisitoire, selon lequel il appartient à l’assureur d’établir</w:t>
      </w:r>
    </w:p>
    <w:p>
      <w:r>
        <w:t>- 12 -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l’assurance (JACQUES OLIVIER PIGUET, in : Commentaire romand de la loi sur la partie générale des assurances sociales, Bâle 2018, nos 9 à 11 ad art 43 LPGA et les références). d) Contrairement à ce que soutient le recourant, le questionnaire du 7 juin 2021 soumis aux experts par la CNA est le fruit du pouvoir d’appréciation de l’assureur qui n’est pas lié par tous les moyens invoqués par l’assuré, mais uniquement ceux qu’il estime nécessaires pour établir l’état de fait pertinent. On observe du reste qu’en demandant, par exemple, aux experts de chiffrer exactement le taux à reconnaître dans le cas présent avec la précision « qu’il convient de tenir compte des aggravations futures prévisibles, en vertu de la loi, en particulier de l’art. 36 al. 4 OLAA » (cf. pièce 333), la CNA a pris en compte la demande du recourant s’agissant de l’évaluation de l’aggravation prévisible de l’atteinte à l’intégrité à l’avenir. Dans ces conditions, l’intimée ne peut se voir reprocher d’avoir omis de donner suite à des offres de preuves pertinentes. Cela étant, il n’y a pas lieu de prononcer l’annulation de la décision sur opposition litigieuse pour violation du droit d’être entendu. 3. a) Sur le fond, le litige porte sur la stabilisation du cas, le refus d’octroi d’une rente d’invalidité et le taux de l’indemnité pour atteinte à l’intégrité (IPAI).</w:t>
      </w:r>
    </w:p>
    <w:p>
      <w:r>
        <w:t>- 13 -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4. a) Aux termes de l’art. 6 al. 1 LAA, les prestations d’assurance sont allouées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- 14 -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w:t>
      </w:r>
    </w:p>
    <w:p>
      <w:r>
        <w:t>- 15 - la jurisprudence citée). Cela vaut également lorsqu’un ou plusieurs médecins ont émis une opinion divergeant de celle de l’expert (TF 9C_268/2011 du 26 juillet 2011 consid. 6.1.2 avec la jurisprudence citée).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le litige porte en premier lieu sur la stabilisation de l’état de santé du recourant, lequel conteste le fait que l’intimée était en droit de passer au régime de la rente à compter du 1er février 2022. a)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w:t>
      </w:r>
    </w:p>
    <w:p>
      <w:r>
        <w:t>- 16 -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Il ne suffit pas non plus qu'un traitement physiothérapeutique puisse éventuellement être bénéfique pour la personne assurée (TF 8C_736/2017 du 20 août 2018 consid. 4.1 et la référence). Dans ce contexte, l'état de santé doit être évalué de manière prospective (TF 8C_235/2020 du 15 février 2021 consid. 2.3 ; TF 8C_95/2021 du 27 mai 2021 consid. 3.2). b) Il ressort en l’occurrence du dossier que, dans un courrier médical du 17 mars 2017, le Dr O.________ est d’avis que l’assuré présente une capacité de travail totale dans une activité adaptée à l’état de son genou gauche. L’assuré a toutefois subi une ostéotomie de valgisation tibiale gauche le 17 mai 2017. Depuis cette intervention, les médecins de la CRR estiment que le cas sera stabilisé dans deux à quatre mois afin de permettre la poursuite de la physiothérapie en vue de maintenir les acquis, voire d’améliorer la condition physique. Aucune nouvelle intervention n’est préconisée, sous réserve d’une éventuelle ablation du matériel d’ostéosynthèse (AMO) laquelle serait bénéfique. De l’avis des médecins de la CRR, la capacité de travail sera complète dans une activité adaptée aux limitations fonctionnelles, soit éviter les positions contraignantes pour le genou gauche notamment : accroupissement,</w:t>
      </w:r>
    </w:p>
    <w:p>
      <w:r>
        <w:t>- 17 - position agenouillé, montée et descente de manière répétitive les escaliers et les échelles, marche prolongée, port de charge excédant un port de charge moyen entre 15-25 kg, de manière répétitive (rapport de sortie du 27 décembre 2017 des Drs S.________ et E.___________). Au vu de l’évolution de l’ostéotomie, une ablation du matériel d’ostéosynthèse (AMO) est réalisée le 21 février 2018. Elle est suivie d’une nouvelle arthroscopie le 18 mai 2018 et méniscectomie partielle de la corne postérieure du ménisque interne. Dans leur rapport du 27 août 2020, les experts C.________ et K.________ ont estimé que le cas était stabilisé dès lors qu’ils ont retenu qu’il n’y avait aucun traitement nécessaire à la conservation ou à l’amélioration de la capacité résiduelle de travail. Ils ont toutefois préconisé une physiothérapie d’entretien en cas d’apparition d’épanchement, de diminution de la mobilité ou de douleurs autres que celle du compartiment interne, ainsi que, comme options thérapeutiques, des injections intra-articulaires d’acide hyaluronique et/ou de Plasma Riche en Plaquettes (cf. expertise, Rép. 5). Il n’y a pas lieu de s’écarter en l’espèce des constatations et conclusions de ce rapport d’expertise dont les auteurs ont dûment motivé leurs propres constatations médicales pour évaluer la situation. L’expertise ne souffre pas de contradictions ni de défauts manifestes et a ainsi, au vu de son contenu, pleine valeur probante au sens de la jurisprudence (cf. consid. 3c supra). Les limitations fonctionnelles retenues par les experts (pour rappel, pas d’activités en station debout prolongée ou nécessitant des déplacements ainsi que requérant des positions avec contraintes importantes sur les genoux [accroupissement, genoux au sol, montées d’escaliers ou d’échelles] et une activité en position assise devant être privilégiée [cf. expertise, Rép. 2]) se recoupent avec celles déjà fixées lors de l’évaluation stationnaire et multidisciplinaire en fin d’année 2017 à la CRR. Par ailleurs, il n’y a pas d’autres restrictions fonctionnelles attestées par les divers médecins consultés par l’assuré.</w:t>
      </w:r>
    </w:p>
    <w:p>
      <w:r>
        <w:t>- 18 - Dans ce contexte, le fait que l’expertise ne confirme pas « des exagérations ou même simulations de plaintes » ressortant d’autres pièces médicales au dossier n’altère en rien sa valeur probante. Les experts avaient en effet pour mandat de répondre à un questionnaire de la CNA (pièce 277) sur la base de leur examen clinique et la lecture du dossier médical mis à leur disposition. Ensuite, le fait que les experts n’aient pas consulté le rapport du Service d’orthopédie de l’Hôpital [...] ([...]) établi à la suite de la consultation du 31 mai 2016 où « une indication chirurgicale aurait été retenue » n’est pas un élément décisif. Les experts ont estimé qu’il n’était pas nécessaire de prendre connaissance du rapport de consultation du 31 mai 2016 pour répondre aux questions d’expertise qui ne concernaient pas les indications chirurgicales (cf. complément d’expertise du 27 octobre 2021). Le fait que les experts ont décrit, dans la rubrique « résumé clinique » de leur rapport, des péjorations éventuelles après les diverses interventions chirurgicales réalisées n’interfère pas sur la stabilisation retenue au jour de l’expertise, la dernière intervention remontant au 18 mai 2018. Selon les experts, la poursuite de séances bi-hebdomadaire de physiothérapie s’effectuait à but antalgique et d’assouplissement de la chaîne latérale, mais sans amélioration des symptômes du compartiment interne, ni restauration de la capacité de travail antérieure à l’accident (expertise, Rép. 1). Dans ce contexte, il y a lieu de préciser que l’éventuelle inexactitude du résumé de l’IRM effectuée après l’intervention du 8 juin 2016 n’a pas d’incidence sur les constatations et conclusions des experts. Le risque de reprise chirurgicale (20 % à 4,6 ans en moyenne) pour une allogreffe méniscale, à partir de donneurs cadavériques, est envisagée comme une procédure de sauvetage avant une solution prothétique, et l’arthroplastie unicompartimentale du genou, avec un taux de révision élevé chez les sujets de moins de 60 ans, devrait être gardée en dernière intention, dans des stades avancés. Dans les deux cas, il s’agit</w:t>
      </w:r>
    </w:p>
    <w:p>
      <w:r>
        <w:t>- 19 - là uniquement de traitements chirurgicaux possibles. Les experts ont toutefois clairement indiqué qu’aucun traitement n’était nécessaire à la conservation ou à l’amélioration de la capacité résiduelle de travail. Il n’y a donc aucun motif de les interpeller sur une aggravation prévisible à dix, vingt ou trente ans, comme le voudrait le recourant. Sous l’angle de la stabilisation de l’atteinte au genou gauche, il est par ailleurs sans pertinence de reprocher aux experts de ne pas avoir équitablement tenu compte des aggravations prévisibles de l’atteinte à l’intégrité retenue vers une arthrose grave, soit une atteinte de 15 à 30 %, en indiquant le pourcentage correspondant au dernier stade de l’évolution. Il s’agit là d’une autre question à traiter, à savoir celle de l’estimation du taux de l’atteinte à l’intégrité retenu selon l’aggravation prévisible (cf. consid. 7 infra). S’agissant du rapport de consultation à l’[...] du 13 juin 2019 (pièce 250), on retiendra que l’assuré a consulté dans le cadre d’un contrôle, la suite du traitement étant repris par la médecin traitante. Aucun document médical ne remet en cause la stabilisation de l’atteinte au genou telle que retenue par les experts. Enfin, la décision sur opposition litigieuse du 5 juillet 2022 est antérieure au rendez-vous prévu le 15 juillet 2022 à l’[...] de sorte que l’intimée n’avait pas à requérir un rapport de consultation. Il appartenait au recourant, s’il entendait s’en prévaloir de le produire au dossier, ce d’autant qu’il est représenté par un mandataire professionnel. c) Il convient donc de se rallier aux constatations et conclusions des experts et de retenir, avec la CNA, que le cas est stabilisé de sorte qu’il y a lieu de passer à l’examen du droit à la rente au 1er février 2022. 6. La stabilisation du cas ouvre le droit du recourant à l’octroi d’une rente d’invalidité, pour autant que son degré d’invalidité dépasse 10</w:t>
      </w:r>
    </w:p>
    <w:p>
      <w:r>
        <w:t>- 20 - %. Il s’agit dès lors de procéder au calcul du préjudice économique et du degré d’invalidité présenté par l’intéressé.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En l’occurrence, constatant que le recourant venait de débuter dans l’entreprise J.________ Sàrl lors de son accident (il en était à son troisième jour de travail, les 21 et 22 mai 2016 étant un samedi et un dimanche) et qu’il ne pourrait de toute manière plus y œuvrer dès lors que celle-ci avait été déclarée en faillite, l’intimée s’est fondée, pour fixer le revenu sans invalidité, sur les données ressortant de la Convention collective de travail romande du second œuvre (5'207 fr. x 13) et a tenu compte de l’estimation trimestrielle 2022 (+ 0,1 %) pour aboutir à un</w:t>
      </w:r>
    </w:p>
    <w:p>
      <w:r>
        <w:t>- 21 - montant de 67'759 francs (cf. pièce 357 - 359). Cette méthode échappe à la critique, étant observé que le recourant ne conteste, à juste titre, pas le calcul du salaire sans invalidité effectué par l’intimée. c)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w:t>
      </w:r>
    </w:p>
    <w:p>
      <w:r>
        <w:t>- 22 - quant à son résultat. Ainsi, la juridiction cantonale, lorsqu'elle examine l'usage qu'a fait l'administration de son pouvoir d'appréciation pour fixer l'étendue de l'abattement sur le revenu d'invalide, doit porter son attention sur les différentes solutions qui s'offraient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Après adaptation à l’évolution des salaires selon l’indice des salaires nominaux pour les hommes de l’année 2019 (+ 0,9 %), 2020 (+ 0,8 %), 2021 (+ 0,1 % [estimation trimestrielle]) et 2022 (+ 0.1 % [estimation trimestrielle]), le revenu annuel brut s’élève à 69'061 fr. 50. En ce qui concerne la question de l’abattement sur le salaire statistique, et malgré les critiques formulées par le recourant, il n’y a pas lieu de s’écarter du taux de 5 % retenu par l’intimée. Celui-ci tient compte de manière appropriée des effets que l’atteinte à la santé peut jouer</w:t>
      </w:r>
    </w:p>
    <w:p>
      <w:r>
        <w:t>- 23 - concrètement sur les perspectives salariales de l’intéressé dans le cadre de l'exercice d'une activité simple, légère et ne nécessitant pas de formation particulière. Il n’y a pas lieu de tenir compte d’autres facteurs en l’espèce qui pourraient lui porter préjudice sur le plan salarial. Le recourant, âgé de 39 ans lors de la décision sur opposition litigieuse, a toujours travaillé comme peintre en bâtiment depuis son arrivée en Suisse en [...] (cf. rapport d’entretien du 24 novembre 2016 entre l’assuré et un inspecteur du Service extérieur Care de la CNA [pièce 34]). Il s’ensuit que le montant du revenu d’invalide doit être fixé à 65’608 francs. d) La comparaison d’un revenu sans invalidité de 67'759 fr. avec un revenu d’invalide de 65'608 fr. aboutit à un degré d’invalidité de 3,1 % ([{67'759 fr. – 65'608 fr.} / 67'759 fr.] x 100), arrondi à 3 % (ATF 130 V 121). Ce taux est identique à celui retenu par l’intimée et largement inférieur au seuil de 10 % pour ouvrir le droit à une rente d’invalidité de l’assurance-accidents (cf. art. 18 al. 1 LAA). e) Dans ce contexte, faute d’octroi d’une rente d’invalidité LAA, l’intimée n’avait pas à solliciter des informations auprès de l’Office de l’assurance-invalidité pour le canton de Vaud au sens de l’art. 19 al. 1 LAA, quant à savoir si les éventuelles mesures de réadaptation de l’assurance- invalidité avaient été menées à terme. 7. Le recourant reproche également à l’intimée une estimation incorrecte de l’indemnité pour atteinte à l’intégrité à laquelle il a droit. En application de la Table 5.2 (taux d’atteinte à l’intégrité résultant d’arthroses) d’indemnisations de la Division médicale de la CNA, il prétend à une indemnité pour atteinte à l’intégrité de 30 %. a) Selon l’art. 24 al. 1 LAA, l’assuré qui, par suite de l’accident, souffre d’une atteinte importante et durable à son intégrité physique, mentale ou psychique, a droit à une indemnité équitable pour atteinte à l’intégrité.</w:t>
      </w:r>
    </w:p>
    <w:p>
      <w:r>
        <w:t>- 24 -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w:t>
      </w:r>
    </w:p>
    <w:p>
      <w:r>
        <w:t>- 25 -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aa) En l’espèce, les experts ont estimé, sur la base de la Table 5.2, que le taux d’indemnité pour atteinte à l’intégrité (IPAI) est de 7,5 % en raison d’une arthrose fémoro-tibiale médiale de degré moyen d’une atteinte de grade III selon Kellgren &amp; Lawrence laquelle concerne uniquement le compartiment fémoro-tibial médial du genou gauche. bb)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Selon le recourant, il s’agirait de calculer l’indemnité pour atteinte à l’intégrité sur la base d’une arthrose grave au sens de la Table 5.2, soit une atteinte de 15 à 30 %, en précisant le pourcentage correspondant au dernier stade de l’évolution (aggravation prévisible à 30 ans). Il semble, selon l’IRM du genou gauche du 6 mai 2022, qu’il y aurait des lésions de grade III voire même IV au niveau du plateau tibial et surtout du condyle fémoral interne à hauteur de la zone de charge</w:t>
      </w:r>
    </w:p>
    <w:p>
      <w:r>
        <w:t>- 26 - montrant une légère extension antérieure avec altération marquée de la quasi-totalité de l’épaisseur du cartilage à ce niveau. L’indemnité pour atteinte à l’intégrité est fixée pour une arthrose qualifiée de moyenne en raison d’une atteinte de grade III alors que le stade IV aurait été atteint ou devrait l’être. L’importance de cette aggravation vraisemblable est en outre quantifiable sur la base de la Table 5.2 qui, en cas d’arthrose fémoro-tibiale grave, prévoit un taux d’atteinte de 15 – 30 %. Dans la mesure où le taux d’une atteinte à l’intégrité dont l’aggravation est prévisible au sens de l’art. 36 al. 4 OLAA doit être fixé uniquement sur la base de constatations médicales (ATF 115 V 147 consid. 1 ; ATF 113 V 218 consid. 4b ; TF 8C_664/2021 du 8 mars 2022 consid. 2.3 ; TF 8C_705/2010 du 15 février 2012 consid. 4.3 ; TF 8C_459/2008 du 4 février 2009 consid. 2.3 et les références), il convient de relever l’absence au dossier d’une évaluation médicale objective tenant compte de l’état actuel du genou gauche du recourant de sorte que la Cour de céans n’est pas en mesure de statuer sur le droit du recourant à une indemnité pour atteinte à l’intégrité en toute connaissance de cause. c) Par conséquent, il se justifie d’ordonner le renvoi de la cause à l’intimée, à qui il appartient au premier chef d’instruire conformément au principe inquisitoire qui régit la procédure dans le domaine des assurances sociales (art. 43 al. 1 LPGA), afin qu’elle prenne les mesures d’instruction nécessaires et qu’elle recueille les renseignements médicaux dont elle a besoin et statue à nouveau sur le taux de l’indemnité. d) Vu l’issue du litige, il n’y a pas lieu de donner suite aux réquisitions de mise en œuvre d’une expertise judiciaire formulées par le recourant. 8. a) En définitive, le recours est partiellement admis et la cause renvoyée à l’intimée pour complément d’instruction dans le sens des considérants, puis nouvelle décision sur le taux d’indemnité pour atteinte</w:t>
      </w:r>
    </w:p>
    <w:p>
      <w:r>
        <w:t>- 27 - à l’intégrité. La décision sur opposition attaquée est confirmée pour le surplus. b) Il n’y a pas lieu de percevoir de frais judiciaires (art. 61 let. fbis LPGA). c) Vu le sort de ses conclusions, le recourant a droit à une indemnité de dépens réduite à titre de participation aux honoraires de son conseil (art. 61 let. g LPGA) qu’il convient d’arrêter à 1’500 fr., débours et TVA compris, et de la mettre intégralement à la charge de l’intimée (art. 10 et 11 TFJDA [tarif du 28 avril 2015 des frais judiciaires et des dépens en matière administrative ; BLV 173.36.5.1]). Par ces motifs, la Cour des assurances sociales p r o n o n c e : I. Le recours est partiellement admis. II. La décision sur opposition rendue le 5 juillet 2022 par la Caisse nationale suisse d’assurance en cas d’accidents est annulée en tant qu’elle porte sur le droit du recourant à une indemnité pour atteinte à l’intégrité, la cause étant renvoyée à l’assureur pour complément d’instruction dans le sens des considérants et nouvelle décision. Elle est confirmée pour le surplus. III. Il n’est pas perçu de frais judiciaires. IV. La Caisse nationale suisse d’assurance en cas d’accidents versera à A._________ une indemnité de 1’500 fr. (mille cinq cents francs) à titre de dépens. La présidente : Le greffier :</w:t>
      </w:r>
    </w:p>
    <w:p>
      <w:r>
        <w:t>- 28 - Du L'arrêt qui précède, dont la rédaction a été approuvée à huis clos, est notifié à : - Me Alain Ribordy (pour A._________), - Me Antoine Schöni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