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ZA22.026965 vom 1. November 2023</w:t>
      </w:r>
    </w:p>
    <w:p>
      <w:r>
        <w:t>VD Tribunal cantonal, 2023-11-01, FR</w:t>
      </w:r>
    </w:p>
    <w:p>
      <w:r>
        <w:rPr>
          <w:b/>
        </w:rPr>
        <w:t xml:space="preserve">Quelle: </w:t>
      </w:r>
      <w:r>
        <w:t>https://mcp.opencaselaw.ch/entscheid/vd_gerichte_ZA22.026965</w:t>
      </w:r>
    </w:p>
    <w:p>
      <w:r>
        <w:t>FR: VD_GERICHTE ZA22.026965 du 1 novembre 2023</w:t>
      </w:r>
    </w:p>
    <w:p>
      <w:r>
        <w:t>IT: VD_GERICHTE ZA22.026965 del 1 novembre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w:t>
      </w:r>
    </w:p>
    <w:p>
      <w:r>
        <w:t>- 15 -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L’objet du litige est délimité par la décision du 30 décembre 2021 puis celle sur opposition du 1er juin 2022. Dans ces deux décisions, la CNA a nié le droit du recourant à des prestations d’assurance, au motif qu’il n’existait pas de lien de causalité, même vraisemblable, entre l’accident du 8 octobre 2015 et les troubles à l’épaule gauche et aux cervicales ayant fait l’objet de la déclaration de rechute du 22 octobre 2020. Le fait que l’assuré n’ait pas reçu de décision concernant son droit à une rente d’invalidité et à une indemnité pour atteinte à l’intégrité, n’a pas à être traité à la faveur de la rechute annoncée en octobre 2020, même si le recourant estime qu’il s’agit d’un déni de justice formel, faute pour lui d’avoir pris une conclusion formelle dans ce sens. A défaut de tout examen de ces questions par l’intimée à ce stade, il n’appartient pas à la</w:t>
      </w:r>
    </w:p>
    <w:p>
      <w:r>
        <w:t>- 16 - Cour de céans de statuer sur ces points pour la première fois en instance de recours. c) Par conséquent, le litige porte sur le point de savoir si l’intimée était fondée à nier le droit du recourant à des prestations de l’assurance-accidents en lien avec la symptomatologie apparue en octobre 2020.</w:t>
      </w:r>
    </w:p>
    <w:p>
      <w:r>
        <w:rPr>
          <w:b/>
        </w:rPr>
        <w:t>E. 3</w:t>
      </w:r>
    </w:p>
    <w:p>
      <w:r>
        <w:t>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w:t>
      </w:r>
    </w:p>
    <w:p>
      <w:r>
        <w:t>- 17 -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w:t>
      </w:r>
    </w:p>
    <w:p>
      <w:r>
        <w:t>- 18 -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8C_232/2019 du 26 juin 2020 consid. 3.3 et les références citées ; 8C_61/2016 du 19 décembre 2016 consid. 3.2 et les références, in SVR 2017 UV n° 19 p. 63 ; 8C_331/2015 du 21 août 2015 consid. 2.2.2, in SVR 2016 UV n° 18 p. 55). En l’absence de symptômes évidents attestant une relation de continuité entre l’événement accidentel et les atteintes nouvellement annoncées, l’assureur-accidents ne sera pas tenu de prester et la décision sera défavorable à la personne assurée (RAMA 2000 n° U 378 p. 190 consid. 3 ; TF 8C_249/2018 du 12 mars 2019 consid. 4.2 ; 8C_560/2017 du 3 mai 2018 consid. 6.1).</w:t>
      </w:r>
    </w:p>
    <w:p>
      <w:r>
        <w:t>- 19 -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w:t>
      </w:r>
    </w:p>
    <w:p>
      <w:r>
        <w:rPr>
          <w:b/>
        </w:rPr>
        <w:t>E. 5</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w:t>
      </w:r>
    </w:p>
    <w:p>
      <w:r>
        <w:t>- 20 -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w:t>
      </w:r>
    </w:p>
    <w:p>
      <w:r>
        <w:t>- 21 - la procédure de l’art. 44 LPGA ou une expertise judiciaire (ATF 135 V 465 consid. 4.6 et 4.7 ; voir aussi TF 8C_796/2016 du 14 juin 2017 consid. 3.3).</w:t>
      </w:r>
    </w:p>
    <w:p>
      <w:r>
        <w:rPr>
          <w:b/>
        </w:rPr>
        <w:t>E. 6</w:t>
      </w:r>
    </w:p>
    <w:p>
      <w:r>
        <w:t>a) Il est en l’occurrence admis que, le 8 octobre 2015, l’assuré a été victime d’une chute alors qu’il descendait d’un échafaudage, ce qui a entraîné des douleurs au dos et une contusion à l’épaule gauche. aa) S’agissant des troubles lombaires, le Dr V.________ a expliqué que le syndrome douloureux lombaire relevait de l’évolution d’un état antérieur tout au plus très passagèrement décompensé par l’accident du 8 octobre 2015 et qui avait, dès à présent, entièrement cessé de déployer ses effets (rapport d’examen du 9 mai 2016). L’intimée a ainsi mis fin au versement de ses prestations (soins médicaux et indemnités journalières) en lien avec ces troubles à compter du 10 mai 2016 (courrier du 2 août 2016). bb) S’agissant des troubles à l’épaule gauche, la Dre X.________ a retenu, lors de ses appréciations des 23 novembre 2017 et 29 janvier 2018, une amyotrophie au niveau de la loge sus-épineuse, mais également du deltoïde sans amyotrophie du bras gauche associée. Par ailleurs, les médecins de la Clinique N.________ avaient fait mention d’une capsulite rétractile, laquelle n’avait toutefois pas formellement été retenue ; en effet, il était difficile de poser ce diagnostic en raison d’autolimitation qui rendait l’interprétation de la raideur difficile, même s’il y avait tout de même quelques signes à l’IRM pouvant aller dans ce sens. Compte tenu de la stabilisation du cas, la CNA a mis un terme au versement de ses prestations au 1er septembre 2018 s’agissant des problèmes à l’épaule gauche (courrier du 9 août 2018). b) Le 22 octobre 2020, l’assuré a, par l’intermédiaire de son employeur, déposé une déclaration de sinistre LAA auprès de la CNA, aux termes de laquelle il a fait valoir une rechute des troubles présentés à l’épaule gauche. Il soutient que ces troubles doivent être pris en charge par l’intimée au titre de rechute ou de séquelles tardives de l’accident du</w:t>
      </w:r>
    </w:p>
    <w:p>
      <w:r>
        <w:rPr>
          <w:b/>
        </w:rPr>
        <w:t>E. 8</w:t>
      </w:r>
    </w:p>
    <w:p>
      <w:r>
        <w:t>En définitive, le recours doit être admis et la décision attaquée annulée, la cause étant renvoyée à l’intimée pour instruction complémentaire au sens des considérants et nouvelle décision.</w:t>
      </w:r>
    </w:p>
    <w:p>
      <w:r>
        <w:rPr>
          <w:b/>
        </w:rPr>
        <w:t>E. 9</w:t>
      </w:r>
    </w:p>
    <w:p>
      <w:r>
        <w:t>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