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ZA22.021515 vom 31. Januar 2025</w:t>
      </w:r>
    </w:p>
    <w:p>
      <w:r>
        <w:t>VD Tribunal cantonal, 2025-01-31, FR</w:t>
      </w:r>
    </w:p>
    <w:p>
      <w:r>
        <w:rPr>
          <w:b/>
        </w:rPr>
        <w:t xml:space="preserve">Quelle: </w:t>
      </w:r>
      <w:r>
        <w:t>https://mcp.opencaselaw.ch/entscheid/vd_gerichte_ZA22.021515</w:t>
      </w:r>
    </w:p>
    <w:p>
      <w:r>
        <w:t>FR: VD_GERICHTE ZA22.021515 du 31 janvier 2025</w:t>
      </w:r>
    </w:p>
    <w:p>
      <w:r>
        <w:t>IT: VD_GERICHTE ZA22.021515 del 31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de l’assurance-accident ainsi qu’à une indemnité pour atteinte à l’intégrité (IPAI).</w:t>
      </w:r>
    </w:p>
    <w:p>
      <w:r>
        <w:t>- 10 -</w:t>
      </w:r>
    </w:p>
    <w:p>
      <w:r>
        <w:rPr>
          <w:b/>
        </w:rPr>
        <w:t>E. 3</w:t>
      </w:r>
    </w:p>
    <w:p>
      <w:r>
        <w:t>Dans un grief de nature formelle, le recourant se plaint d’une violation de son droit d’être entendu, en lien avec le refus de suspension de la procédure requise devant l’intimée. a) Le droit d’être entendu garanti par l’art. 29 al. 2 Cst.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réalité, en tant que le recourant reproche à l’intimée une violation de son droit d’être entendu en lien avec le refus de suspension de la procédure afin d’établir le caractère durable de ses relations contractuelles avec son employeur à compter du 1er février 2022, ce grief formel se confond avec les griefs de fond en tant qu’il critique l’appréciation des preuves opérée par l’intimée et se plaint d’un défaut d’instruction. Ces arguments seront donc examinés avec le fond du litige. On ne perçoit au demeurant pas de violation du droit d’être entendu.</w:t>
      </w:r>
    </w:p>
    <w:p>
      <w:r>
        <w:rPr>
          <w:b/>
        </w:rPr>
        <w:t>E. 4</w:t>
      </w:r>
    </w:p>
    <w:p>
      <w:r>
        <w:t>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w:t>
      </w:r>
    </w:p>
    <w:p>
      <w:r>
        <w:t>- 11 -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w:t>
      </w:r>
    </w:p>
    <w:p>
      <w:r>
        <w:t>- 12 - Pour procéder à la comparaison des revenus, il convient de se placer au moment de la naissance du droit éventuel à la rente (ATF 143 V 295 consid. 4.1.3 et les références ; TF 8C_837/2019 du 16 septembre 2020 consid. 5.2).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f)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g)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w:t>
      </w:r>
    </w:p>
    <w:p>
      <w:r>
        <w:t>- 13 -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- 14 -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- 15 - sur l’exactitude de leurs conclusions (ATF 135 V 465 consid. 4.7 ; TF 8C_796/2016 du 14 juin 2017 consid. 3.3).</w:t>
      </w:r>
    </w:p>
    <w:p>
      <w:r>
        <w:rPr>
          <w:b/>
        </w:rPr>
        <w:t>E. 6</w:t>
      </w:r>
    </w:p>
    <w:p>
      <w:r>
        <w:t>a) En l’occurrence, le recourant ne conteste pas l’appréciation médicale de sa situation faite par l’intimée, à savoir qu’il dispose d’une pleine capacité de travail dans une activité adaptée à ses limitations fonctionnelles (pas de marche prolongée sur des terrains irréguliers et pas de position à genoux et/ou accroupie), alors que dans son activité habituelle sa capacité de travail est nulle. Le recourant a en effet repris une activité professionnelle à 100 %, ce qui correspond à la capacité attestée par la Dre P.________ (cf. rapport du 6 décembre 2021). Pour rappel, cette praticienne a posé les diagnostics de métatarsalgies du pied gauche (dans les suites d’une fracture ouverte Gustilo III le 11 avril 2019 ayant nécessité un débridement, un lavage de plaie, un enclouage par clou T2 du tibia gauche avec triple verrouillage distal, une révision de la plaie de la jambe gauche et un prélèvement profond avec fermeture secondaire le 16 avril 2019, une ablation du clou le 11 février 2021 avec neurolyse du nerf péronier superficiel et retard de cicatrisation de la malléole interne), ainsi que de diminution des amplitudes motrices au niveau du nerf tibial gauche au bilan neurologique du 28 mai 2021. b) Le recourant critique en revanche le calcul du degré d’invalidité effectué par l’intimée pour lui refuser une rente d’invalidité. aa) Pour ce qui est, tout d’abord, du revenu sans invalidité, l’intimée a retenu un gain de 63’421 francs. Elle s’est fondée sur le dernier salaire horaire réalisé par l’assuré, soit 27 fr. 45 en 2019, qu’elle a indexé jusqu’en 2022 (respectivement 0.8 %, 0.1 % et 0.1 %), pour arriver à 27 fr. 72. Elle a ensuite tenu compte du total des heures annuelles (2'112) et d’un treizième salaire (8.33 %). Le recourant conteste ce calcul. Il plaide, pour sa part, que le revenu sans invalidité doit s’élever à 71’749 fr. 67. Selon lui, au regard de l’art. 34 al. 1 de la CCT (sic), une part de 10.6 % pour les vacances est à ajouter au salaire de base, pour les travailleurs rémunérés à l’heure,</w:t>
      </w:r>
    </w:p>
    <w:p>
      <w:r>
        <w:t>- 16 - comme c’était son cas, en plus du treizième salaire et de l’indemnité pour les jours fériés (art. 38 al. 2 CCT [sic]). Le raisonnement du recourant ne peut toutefois être suivi. Le contrat de travail du recourant prévoit un renvoi à la Convention nationale du secteur principal de la construction en Suisse (CN) s’agissant de l’horaire de travail, qui fixe le nombre total des heures annuelles de travail déterminant à 2’112 heures par année. Ce nombre d’heures n’est pas contesté par le recourant. Tel que l’a expliqué l’intimée et comme cela ressort de la jurisprudence (cf. TF 8C_401/2018 du 16 mai 2019 consid. 4.4), ce chiffre est arrêté en tenant compte des vacances et des jours fériés, de sorte qu’il n’y a pas lieu de les ajouter au salaire horaire de base, sous peine de les prendre en compte deux fois. En revanche, comme l’a fait l’intimée, la part au treizième salaire doit être additionnée au salaire horaire de base, conformément au contrat de travail du recourant et à la convention (art. 50). Ainsi, en multipliant le salaire horaire de 27 fr. 72 par 2’112 heures, on obtient un montant de 58’544 fr. 64. Ce chiffre doit encore être augmenté de 8,3 % en lien avec la part au treizième salaire, ce taux étant prévu tant par le contrat de travail du recourant que la convention (art. 50). Le montant de 8,33 % retenu par l’intimée à ce titre, pour aboutir à un revenu sans invalidité de 63’421 fr., est ainsi erroné. En définitive, le revenu annuel sans invalidité s’élève à 63’403 fr. 85 ([27 fr. 72 x 2’112 heures] x 8,3 %). Quoi qu’il en soit, même si on retenait le salaire sans invalidité de 71’749 fr. 67 allégué par le recourant, celui-ci n’aurait pas droit à une rente d’invalidité compte tenu de qui suit. bb) S’agissant du revenu d’invalide, le recourant s’étonne qu’il n’ait pas été tenu compte de sa relation de travail depuis le 1er février 2022 avec E.________ en liquidation et du revenu annuel qu’il</w:t>
      </w:r>
    </w:p>
    <w:p>
      <w:r>
        <w:t>- 17 - perçoit de 46’852 fr. 80, l’intimée s’étant fondée sur l’ESS pour calculer ce revenu.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être prises en compte (cf. ATF 129 V 222 consid. 4.3.1 ; TF 8C_216/2016 du 30 septembre 2016 consid. 5.2). Si, au prononcé de la décision sur opposition du 29 avril 2022, le recourant avait retrouvé du travail comme aide-sanitaire, il faut encore que l’on soit en présence de rapports de travail particulièrement stables pour que le salaire perçu dans ce cadre soit retenu au titre de revenu avec invalidité. Or, la condition afférente à la stabilité des rapports de travail posée par la jurisprudence n’était pas remplie au moment de la décision litigieuse. Le Tribunal fédéral a en effet jugé qu’une durée de trois mois, comme en l’espèce, était insuffisante pour considérer un rapport de travail comme stable (comp. TFA U 196/02 du 23 janvier 2003 consid. 4.3 et 4.4 ; TF 9C_140/2018 du 30 mai 2018 consid. 4.3). Au surplus, il convient de relever que le Tribunal fédéral a également considéré qu’une durée de près de onze mois était aussi insuffisante (TFA I 681/06 du 5 mars 2007 consid. 4.3). Quoi qu’il en soit, compte tenu des limitations fonctionnelles du recourant (pas de marche prolongée sur des terrains irréguliers et pas de position à genoux et/ou accroupie), celui-ci pourrait prétendre à des postes mieux rémunérés, comme cela ressort du revenu statistique qui lui est imputable (cf. infra). Cet emploi ne met dès lors pas pleinement en valeur sa capacité de travail et le salaire qu’il perçoit dans ce cadre n’est donc pas pertinent pour établir son revenu avec invalidité. Dans ce contexte, on ne perçoit pas en quoi l’intimée aurait violé l’égalité de traitement en rendant sa décision rapidement puisqu’elle</w:t>
      </w:r>
    </w:p>
    <w:p>
      <w:r>
        <w:t>- 18 - était en droit de statuer sans tenir compte de l’activité exercée par le recourant et donc sans attendre de savoir si ses relations de travail étaient durables, cet élément n’étant pas déterminant en l’espèce. C’est ainsi à bon droit que l’intimée s’est fondée sur un revenu hypothétique en recourant aux données ESS, l’existence d’un revenu avec invalidité effectif fiable faisant défaut. La détermination du revenu avec invalidité ne prête pas le flanc à la critique. L’intimée, comme l’exige la jurisprudence, a déterminé le revenu avec invalidité sur la base des données salariales résultant de l’ESS adéquate. Partant, le salaire avec invalidité s’élève à 69’061 fr. 50. c) Compte tenu des salaires retenus avec et sans invalidité, le droit à une rente d’invalidité est exclu, a faute de préjudice économique, le revenu avec invalidité étant supérieur au revenu sans invalidité. Même si le salaire sans invalidité de 71’749 fr. 67 allégué par le recourant avait été admis, le préjudice économique du recourant serait inférieur à 10 %, ce qui exclut tout droit à une rente d’invalidité ([69’061.50 – 71’749.67] x 100 / 71’749.67 = 3.75 %).</w:t>
      </w:r>
    </w:p>
    <w:p>
      <w:r>
        <w:rPr>
          <w:b/>
        </w:rPr>
        <w:t>E. 7</w:t>
      </w:r>
    </w:p>
    <w:p>
      <w:r>
        <w:t>a) Reste à examiner le droit du recourant à une indemnité pour atteinte à l’intégrité. Sur l’avis de la Dre P.________, l’intimée a nié ce droit au recourant au motif qu’il n’existait pas de séquelles correspondant à un taux d’indemnité pour atteinte à l’intégrité, si bien que les conditions requises pour l’octroi de cette prestation de l’assurance-accidents n’étaient pas remplies. Le recourant conteste ce refus, estimant avoir droit à une indemnité pour atteinte à l’intégrité d’au moins 20 % compte tenu du blocage de ses quatre orteils et de la diminution de l’amplitude motrice de son nerf tibial gauche. b) Selon l’art. 24 al. 1 LAA, l’assuré qui, par suite de l’accident, souffre d’une atteinte importante et durable à son intégrité physique,</w:t>
      </w:r>
    </w:p>
    <w:p>
      <w:r>
        <w:t>- 19 -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w:t>
      </w:r>
    </w:p>
    <w:p>
      <w:r>
        <w:t>- 20 -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l’occurrence, dans son appréciation du 6 décembre 2021, la Dre P.________ a retenu que le recourant ne présentait pas de séquelles qui correspondaient à un taux d’indemnité pour atteinte à l’intégrité. Quoi qu’en dise le recourant, sa situation a correctement été évaluée par la médecin d’arrondissement. En tant qu’elle retient l’absence d’atteinte importante à l’intégrité physique dans le cas particulier et que les conditions requises pour l’octroi de cette prestation de l’assurance-accidents ne sont pas remplies, la décision attaquée ne prête pas flanc à la critique. En effet, la Dre P.________ a basé son avis sur un dossier complet et un examen personnel du recourant. A cet égard, on relèvera que la fracture de la jambe gauche du recourant est consolidée (cf. rapport du 20 janvier 2020 du Dr F.________ et rapport non daté de la Dre R.________ transmis le 27 novembre 2020 à la CNA), qu’à la suite de l’AMO, les douleurs sur la face antérieure de la cheville en regard de la vis antéro-postérieure ont évolué favorablement (cf. rapport du 28 mai 2021 du Dr V.________ et rapport du 11 juin 2021 du Prof. AB.________) et que l’IRM de cette cheville n’a mis en exergue aucune anomalie (cf. rapport du 17 mars 2020 du Dr W.________). La fonctionnalité objective de la cheville a ainsi été confirmée par plusieurs praticiens.</w:t>
      </w:r>
    </w:p>
    <w:p>
      <w:r>
        <w:t>- 21 - Alors même que la fixation d’une IPAI est une question d’ordre médical, le recourant s’est limité à faire valoir son propre avis sur la question. Bien que le Dr V.________ ait relevé une diminution de l’amplitude motrice au niveau du nerf tibial gauche de 50 % par rapport au droit, il n’a pas estimé d’atteinte à l’intégrité ni même constaté de limitations. Il n’a en tout cas pas indiqué qu’une telle atteinte correspondrait à une paralysie du nerf sciatique poplité interne (table 2 du barème de l’indemnisation des atteintes à l’intégrité). Le bilan neurologique effectué par ce praticien était pour le reste plutôt favorable, dans la mesure où il a indiqué que l’examen neurologique du recourant ne révélait pas d’atrophie au niveau des pédieux à gauche et que le bilan électrophysiologique ne révélait aucune anomalie du nerf péronier commun gauche. Le recourant n’a, au demeurant, produit aucun avis médical susceptible de remettre en cause les conclusions de la Dre P.________ quant à l’absence d’une atteinte importante à l’intégrité. En particulier, le rapport du Dr C.________ ne se prononce pas sur la question spécifique de l’IPAI, malgré le constat d’orteils en griffes des rangs deux à cinq. Il faut d’ailleurs constater que les Drs V.________, R.________ et le Prof. AB.________ ont également exposé que le recourant présentait des orteils en griffes, sans que cela ne constitue une atteinte importante à l’intégrité. L’IRM réalisé le 15 mars 2021 n’a, pour le surplus, pas mis en évidence de problèmes aux extenseurs, étant souligné que ces derniers étaient « normaux ». Vu ce qui précède, c’est à juste titre que l’intimée n’a pas accordé une IPAI au recourant.</w:t>
      </w:r>
    </w:p>
    <w:p>
      <w:r>
        <w:rPr>
          <w:b/>
        </w:rPr>
        <w:t>E. 8</w:t>
      </w:r>
    </w:p>
    <w:p>
      <w:r>
        <w:t>a) En conséquence, le recours doit être rejeté et la décision attaquée confirmée. La requête d’effet suspensif formulée par le recourant dans son mémoire de recours est, compte tenu du présent arrêt, devenue sans objet.</w:t>
      </w:r>
    </w:p>
    <w:p>
      <w:r>
        <w:t>- 22 - b) Il n’y a pas lieu de percevoir de frais judiciaires (art. 61 let. fbis LPGA), ni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