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ZA22.013545 vom 27. September 2022</w:t>
      </w:r>
    </w:p>
    <w:p>
      <w:r>
        <w:t>VD Tribunal cantonal, 2022-09-27, FR</w:t>
      </w:r>
    </w:p>
    <w:p>
      <w:r>
        <w:rPr>
          <w:b/>
        </w:rPr>
        <w:t xml:space="preserve">Quelle: </w:t>
      </w:r>
      <w:r>
        <w:t>https://mcp.opencaselaw.ch/entscheid/vd_gerichte_ZA22.013545</w:t>
      </w:r>
    </w:p>
    <w:p>
      <w:r>
        <w:t>FR: VD_GERICHTE ZA22.013545 du 27 septembre 2022</w:t>
      </w:r>
    </w:p>
    <w:p>
      <w:r>
        <w:t>IT: VD_GERICHTE ZA22.013545 del 27 settembre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et sur le refus de l’assistance juridique gratuite.</w:t>
      </w:r>
    </w:p>
    <w:p>
      <w:r>
        <w:rPr>
          <w:b/>
        </w:rPr>
        <w:t>E. 3</w:t>
      </w:r>
    </w:p>
    <w:p>
      <w:r>
        <w:t>a) Le 1er janvier 2017 est entrée en vigueur la modification du 25 septembre 2015 de la LAA. Dans la mesure où l'accident du recourant est survenu avant cette date, son droit aux prestations d'assurance est soumis à l'ancien droit (ch. 1 des dispositions transitoires relatives à cette modification [RO 2016 4388]). Les dispositions légales seront citées ci- après dans leur teneur en vigueur jusqu’au 31 décembre 2016. b)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w:t>
      </w:r>
    </w:p>
    <w:p>
      <w:r>
        <w:t>- 6 -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L’art. 24 al. 2 OLAA (ordonnance du 20 décembre 1982 sur l’assurance-accidents ; RS 832.202)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f) aa) Comme le revenu sans invalidité, le revenu avec invalidité doit être évalué avant tout en fonction de la situation professionnelle concrète de la personne assurée. Le revenu effectivement</w:t>
      </w:r>
    </w:p>
    <w:p>
      <w:r>
        <w:t>- 7 -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w:t>
      </w:r>
    </w:p>
    <w:p>
      <w:r>
        <w:t>- 8 -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4</w:t>
      </w:r>
    </w:p>
    <w:p>
      <w:r>
        <w:t>a) En l’espèce, il n’est pas contesté que le recourant présente une pleine capacité de travail dans une activité adaptée à ses limitations fonctionnelles. Seul le calcul du degré d’invalidité est litigieux, plus particulièrement les revenus avec et sans invalidité pris en compte par l’intimée, étant précisé que les parties s’accordent sur l’année 2021 comme année de référence pour procéder à la comparaison des revenus. b) Pour fixer le revenu sans invalidité à 79’351 fr., l’intimée s’est basée sur les informations communiquées par F.________ SA selon lesquelles le recourant percevait en 2015 un salaire annuel de 76'700 fr. et aurait continué à percevoir ce montant en 2016 et 2017 s’il avait continué son activité pour cet employeur sans la survenance de l’accident. L’intimée a ensuite indexé ce revenu à l’année 2021. Cette façon de procéder n’est pas critiquable et c’est à tort que le recourant sollicite la prise en compte d’un revenu sans invalidité de 82'536 fr. 60, correspondant à son salaire assuré auprès de l’intimée en 2015, après déduction des allocations familiales et prise en compte de l’augmentation nominale des salaires pour les années 2016 à 2021. Le revenu sans invalidité, qui correspond au gain hypothétique que le recourant réaliserait sans invalidité, est une notion différente du salaire assuré et ne saurait être confondu avec ce dernier. c) Le recourant conteste ensuite le revenu avec invalidité de 68'993 fr. calculé par l’intimée sur la base de l’ESS (ESS 2018, Tableau TA1_skill_level, niveau de compétence 1, après indexation à 2021 et prise en compte d’une durée hebdomadaire dans les entreprises de 41,7 heures), estimant qu’il aurait dû être fixé à 51'220 fr. selon la convention collective de travail des industries horlogère et microtechnique suisses.</w:t>
      </w:r>
    </w:p>
    <w:p>
      <w:r>
        <w:t>- 9 - Même si le recourant a bénéficié d’une mesure de réadaptation professionnelle sous l’égide de l’OAI qui lui a permis d’obtenir une AFP d’opérateur en horlogerie, il n’avait pas trouvé d’emploi à l’issue de cette formation professionnelle et n’avait toujours pas repris d’activité lucrative lorsque la décision sur opposition contestée a été rendue. Dans ces circonstances, l’utilisation des données statistiques ressortant de l’ESS pour la fixation du revenu d’invalide ne prête pas le flanc à la critique au vu de la jurisprudence précitée. A noter qu’on ne peut pas prendre en considération le salaire perçu par le recourant en tant qu’opérateur affûtage en vertu du contrat de mission conclu le 22 mars 2022 avec L.________ SA, dès lors qu’il ne peut pas être tenu compte de circonstances postérieures à la décision sur opposition de l’intimée (ATF 144 V 210 consid. 4.3.1). Par ailleurs, pour que le revenu effectivement réalisé par l’assuré puisse être pris en compte, il faut notamment que l’activité exercée après la survenance de l’atteinte à la santé repose sur des rapports de travail particulièrement stables (ATF 143 V 295 consid. 2.2; 139 V 592 consid. 2.3 ; TF 9C_790/2020 du 13 octobre 2021 consid. 4.2), cette condition ayant été considérée comme non remplie par le Tribunal fédéral dans le cas d’un assuré au bénéfice d’un contrat de mission de durée indéterminée auprès d’une agence de placement (TF 8C_837/2019 du 16 septembre 2020 consid. 5.3). Le recourant soutient que la mesure de réadaptation professionnelle dont il a bénéficié n’était pas appropriée et que l’OAI aurait dû examiner si les mesures allouées étaient suffisantes pour se repositionner sur le marché de l’emploi, ajoutant que la convention collective de travail prévoit une différence salariale importante entre un employé au bénéfice d’une AFP et un salarié titulaire d’un Certificat fédéral de capacité (CFC). Les griefs formulés contre la décision de l’OAI ne relèvent pas de la présente procédure et doivent être écartés. Par ailleurs, quand bien même l’OAI aurait commis une erreur dans le choix de la reconversion professionnelle, comme le prétend le recourant, il ne</w:t>
      </w:r>
    </w:p>
    <w:p>
      <w:r>
        <w:t>- 10 - s’agirait pas d’un élément de nature à remettre en cause l’utilisation de l’ESS dans le cas d’espèce où l’activité d’opérateur en horlogerie n’est pas représentative de ce que le recourant pourrait réaliser en tant qu’invalide, dans la mesure où ses limitations fonctionnelles sont compatibles avec d’autres métiers et dans d’autres branches économiques. Le recourant allègue encore qu’un abattement de 10 % se justifie compte tenu de sa nationalité, de ses connaissances modestes en français et de ses limitations fonctionnelles. La nationalité du recourant n’est pas une entrave à l’exercice d’une activité lucrative en Suisse, puisqu’il est au bénéfice d’une autorisation d’établissement. Son niveau de français est suffisant, dès lors qu’il lui a permis de suivre une formation d’opérateur en horlogerie comprenant des cours et examens théoriques, et n’a pas été un obstacle à l’exercice d’une activité professionnelle par le passé. Il ressort en outre du curriculum vitae figurant au dossier qu’il parle très bien le français. Les limitations fonctionnelles du recourant liées à son atteinte au genou droit (pas d’activité en position à genoux ou accroupie, pas de port de charge répété de plus de 10 kg, pas de marche répétée et prolongée d’une durée supérieure à 15 ou 20 minutes ni en terrain irrégulier, pas de position statique assis ou debout, alternance des positions assis et debout avec activité plutôt sédentaire) sont compatibles avec un grand nombre d’activités légères que recouvrent les secteurs de la production et des services, de sorte qu’un abattement n’est pas nécessaire. Enfin, le fait que l’OAI ait opéré un abattement de 10 % sur le revenu avec invalidité n’est pas déterminant, l'évaluation de l'invalidité par les organes de l'assurance-invalidité n'ayant pas de force contraignante pour l'assureur-accidents qui ne répond que des conséquences des atteintes à la santé qui sont en relation de causalité naturelle et adéquate avec l’accident assuré (ATF 131 V 362 consid. 2.3). d) En définitive, il n’y a pas lieu de s’écarter du taux d’invalidité retenu par l’intimée.</w:t>
      </w:r>
    </w:p>
    <w:p>
      <w:r>
        <w:t>- 11 -</w:t>
      </w:r>
    </w:p>
    <w:p>
      <w:r>
        <w:rPr>
          <w:b/>
        </w:rPr>
        <w:t>E. 5</w:t>
      </w:r>
    </w:p>
    <w:p>
      <w:r>
        <w:t>a) Aux termes de l’art. 37 al. 4 LPGA, l’assistance gratuite d’un mandataire est accordée au demandeur lorsque les circonstances l’exigent.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b) En l’espèce, le litige porte uniquement sur la détermination du revenu avec et sans invalidité qui sont des questions qui se posent communément dans la plupart des procédures ayant pour objet le droit à des prestations de l’assurance-accidents et qui ne comportent intrinsèquement aucune difficulté particulière. Le cas du recourant ne revêt manifestement pas un degré de complexité accru qui rendrait nécessaire l’assistance d’un avocat sous l’angle de l’art. 37 al. 4 LPGA.</w:t>
      </w:r>
    </w:p>
    <w:p>
      <w:r>
        <w:rPr>
          <w:b/>
        </w:rPr>
        <w:t>E. 6</w:t>
      </w:r>
    </w:p>
    <w:p>
      <w:r>
        <w:t>a) En conclusion, le recours, mal fondé, doit être rejeté et la décision litigieuse confirmée, sans qu’il y ait lieu de requérir le dossier du recourant auprès de l’OAI ; une telle mesure ne serait pas de nature à modifier les considérations qui précèdent (par appréciation anticipée des</w:t>
      </w:r>
    </w:p>
    <w:p>
      <w:r>
        <w:t>- 12 - preuves : ATF 145 I 167 consid. 4.1 ; 140 I 285 consid. 6.3.1 ; 130 II 425 consid. 2.1).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