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ZA22.010668 vom 16. November 2023</w:t>
      </w:r>
    </w:p>
    <w:p>
      <w:r>
        <w:t>VD Tribunal cantonal, 2023-11-16, FR</w:t>
      </w:r>
    </w:p>
    <w:p>
      <w:r>
        <w:rPr>
          <w:b/>
        </w:rPr>
        <w:t xml:space="preserve">Quelle: </w:t>
      </w:r>
      <w:r>
        <w:t>https://mcp.opencaselaw.ch/entscheid/vd_gerichte_ZA22.010668</w:t>
      </w:r>
    </w:p>
    <w:p>
      <w:r>
        <w:t>FR: VD_GERICHTE ZA22.010668 du 16 novembre 2023</w:t>
      </w:r>
    </w:p>
    <w:p>
      <w:r>
        <w:t>IT: VD_GERICHTE ZA22.010668 del 16 novembre 2023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En définitive, le recours, mal fondé, doit être rejeté et la décision sur opposition attaquée confirmée.</w:t>
      </w:r>
    </w:p>
    <w:p>
      <w:r>
        <w:rPr>
          <w:b/>
        </w:rPr>
        <w:t>E. 9</w:t>
      </w:r>
    </w:p>
    <w:p>
      <w:r>
        <w:t>Il n’y a pas lieu de percevoir de frais judiciaires (art. 61 let. fbis LPGA), ni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