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ZA22.009972 vom 22. August 2022</w:t>
      </w:r>
    </w:p>
    <w:p>
      <w:r>
        <w:t>VD Tribunal cantonal, 2022-08-22, FR</w:t>
      </w:r>
    </w:p>
    <w:p>
      <w:r>
        <w:rPr>
          <w:b/>
        </w:rPr>
        <w:t xml:space="preserve">Quelle: </w:t>
      </w:r>
      <w:r>
        <w:t>https://mcp.opencaselaw.ch/entscheid/vd_gerichte_ZA22.009972</w:t>
      </w:r>
    </w:p>
    <w:p>
      <w:r>
        <w:t>FR: VD_GERICHTE ZA22.009972 du 22 août 2022</w:t>
      </w:r>
    </w:p>
    <w:p>
      <w:r>
        <w:t>IT: VD_GERICHTE ZA22.009972 del 22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w:t>
      </w:r>
    </w:p>
    <w:p>
      <w:r>
        <w:rPr>
          <w:b/>
        </w:rPr>
        <w:t>E. 2</w:t>
      </w:r>
    </w:p>
    <w:p>
      <w:r>
        <w:t>Le litige porte sur le droit du recourant à des prestations de l’assurance-accidents en raison d’une rechute en novembre 2020 de l’accident du 3 septembre 2011.</w:t>
      </w:r>
    </w:p>
    <w:p>
      <w:r>
        <w:rPr>
          <w:b/>
        </w:rPr>
        <w:t>E. 3</w:t>
      </w:r>
    </w:p>
    <w:p>
      <w:r>
        <w:t>a)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b)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w:t>
      </w:r>
    </w:p>
    <w:p>
      <w:r>
        <w:rPr>
          <w:b/>
        </w:rPr>
        <w:t>E. 4</w:t>
      </w:r>
    </w:p>
    <w:p>
      <w:r>
        <w:t>a) Selon le principe de la libre appréciation des preuves (art. 61 let. c LPGA), le juge apprécie librement les preuves médicales sans être lié par des règles formelles, en procédant à une appréciation complète et</w:t>
      </w:r>
    </w:p>
    <w:p>
      <w:r>
        <w:t>- 10 -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citées ; TF 8C_281/2019 du 19 mai 2020 consid. 5.1).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w:t>
      </w:r>
    </w:p>
    <w:p>
      <w:r>
        <w:t>- 11 - résulte de ce qui précède que les rapports des médecins employés de l’assurance sont à prendre en considération tant qu’il n’existe aucun doute, même minime, sur l’exactitude de leurs conclusions (ATF 135 V 465 consid. 4.7 ; TF 8C_796/2016 du 14 juin 2017 consid. 3.3). On ajoutera encore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TF 8C_445/2021 du 14 janvier 2022 consid. 4.4 ; 8C_796/2016 du 14 juin 2017 consid. 3.3)</w:t>
      </w:r>
    </w:p>
    <w:p>
      <w:r>
        <w:rPr>
          <w:b/>
        </w:rPr>
        <w:t>E. 5</w:t>
      </w:r>
    </w:p>
    <w:p>
      <w:r>
        <w:t>En l’espèce, le recourant fait pour l’essentiel valoir que son état de santé s’est péjoré depuis novembre 2020 en demandant la mise en œuvre d’une expertise médicale au vu des avis divergents des médecins spécialistes figurant au dossier. A titre liminaire et s’agissant des faits retenus par l’intimée dans sa décision, on relèvera d’emblée que le dossier est incomplet dès lors qu’il ne contient pas les rapports médicaux établis à la suite de l’accident du 3 septembre 2011. On ignore en outre si le recourant est droitier ou gaucher. Au terme de l’instruction de la rechute/séquelle tardive annoncée à l’automne 2020, l’assurance-accidents a constaté les avis divergents entre la Dre A._______ et le Dr W.________, tous deux spécialistes en chirurgie de la main, mais ne les a pas évalués pour en déterminer la force probante. Dans ce contexte, l’intimée a retenu que la Dre A._______ énonçait que le mécanisme qui provoque la rupture spontanée du tendon extenseur pollicis longus est lié à une formation du cal autour du tubercule de Lister qui provoque un rétrécissement du</w:t>
      </w:r>
    </w:p>
    <w:p>
      <w:r>
        <w:t>- 12 - troisième compartiment et ensuite une réduction de la vascularisation du tendon puis nécrose et rupture éventuelle. L’examen radiologique, quant à lui, faisait ressortir une suspicion d’une ténosynovite des extenseurs radiaux du carpe et du long extenseur du pouce à gauche. De son côté, le Dr W.________ remettait en cause le type de coupes effectuées lors de l’examen et ne constatait pas de rétrécissement du troisième compartiment, mettant à mal le raisonnement de sa consœur. Sur la base des nouvelles coupes effectuées, le Dr W.________ a ensuite confirmé l’absence d’éléments susceptibles de causer une contrainte mécanique de voisinage du tendon EPL (extensor pollicis longus) au niveau du poignet gauche de l’assuré. Il a également émis l’avis qu’une hypothétique sténose post-traumatique de la troisième coulisse des extenseurs du poignet gauche aurait été symptomatique dans les suites de l’accident de 2011 et n’aurait certainement pas passé inaperçu pendant une dizaine d’années. Il a ajouté enfin que les ruptures spontanées du tendon EPL sont rares mais existent tandis que les ruptures post-traumatiques après une dizaine d’années doivent encore être décrites. Au regard des constatations médicales et en application du critère de la vraisemblance prépondérante, l’intimée a tiré de cette situation la conclusion que le lien de causalité entre la rechute/séquelle tardive en 2020 (rupture spontanée du tendon extenseur pollicis longus du pouce gauche) et l’accident de 2011 n’avait pas pu être établi à suffisance de droit. Ce faisant, l’assurance n’a toutefois pas indiqué pour quels motifs médicaux objectifs elle avait écarté l’avis de la Dre A._______ pourtant tout aussi soigneusement motivé que celui du Dr W.________. Or, en l’occurrence, le médecin-conseil de l’assurance- accidents et le chirurgien traitant ont des prises de position quant au lien de causalité entre la nouvelle atteinte et l’accident de 2011 à ce point divergentes qu’il apparaît difficile, voire impossible, de les départager sans disposer de connaissances médicales spécialisées. En effet, on ne voit pas, dans les explications avancées de part et d’autre, de motifs reconnaissables pour le juge qui justifieraient d’écarter d’emblée un avis au profit de l’autre en raison d’une valeur probante insuffisante. On ignore</w:t>
      </w:r>
    </w:p>
    <w:p>
      <w:r>
        <w:t>- 13 - également si l’ensemble des facteurs médicalement déterminants pour pouvoir statuer sur le cas ont effectivement été pris en compte. Aussi, dans la mesure où le cas du recourant a été réglé sans avoir recours à une expertise (les avis du Dr W.________ ne pouvant pas être assimilés à une expertise) et où il existe bien des doutes sur la fiabilité et la validité des constatations du médecin-conseil de l’assurance- accidents, on se trouve dans la situation visée par la jurisprudence qui impose de mettre en œuvre une expertise par un médecin indépendant (cf. consid. 4c supra). Dès lors qu’il appartient en premier lieu à l’assureur- accidents de procéder à des instructions complémentaires pour établir d’office l’ensemble des faits déterminants et, le cas échéant, d’administrer les preuves nécessaires avant de rendre sa décision (conformément au principe inquisitoire qui régit la procédure dans le domaine des assurances sociales selon l’art. 43 al. 1 LPGA ; ATF 132 V 368 consid. 5 ; TF 8C_490/2021 du 11 février 2022 consid. 5.3 ; 8C_412/2019 du 9 juillet 2020 consid. 5.4 et les références), la cause sera renvoyée à l’assurance- accidents, afin qu’elle mette en œuvre une expertise par un médecin indépendant selon la procédure de l'art. 44 LPGA. Cela fait, il lui appartiendra ensuite de rendre une nouvelle décision statuant sur le droit aux prestations du recourant (TF 8C_445/2021 du 14 janvier 2022 consid. 4.4).</w:t>
      </w:r>
    </w:p>
    <w:p>
      <w:r>
        <w:rPr>
          <w:b/>
        </w:rPr>
        <w:t>E. 6</w:t>
      </w:r>
    </w:p>
    <w:p>
      <w:r>
        <w:t>a) En définitive bien-fondé, le recours doit être admis, la décision sur opposition attaquée annulée et la cause renvoyée à l’intimée pour qu’elle rende une nouvelle décision après avoir procédé à une instruction complémentaire conformément aux considérants du présent arrêt. b) Il n’y a pas lieu de percevoir de frais judiciaires (art. 61 let. fbis LPGA), ni d’allouer de dépens, le recourant ayant procédé sans mandataire qualifié (ATF 127 V 205 consid. 4b).</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