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ZA22.008062 vom 23. Februar 2023</w:t>
      </w:r>
    </w:p>
    <w:p>
      <w:r>
        <w:t>VD Tribunal cantonal, 2023-02-23, FR</w:t>
      </w:r>
    </w:p>
    <w:p>
      <w:r>
        <w:rPr>
          <w:b/>
        </w:rPr>
        <w:t xml:space="preserve">Quelle: </w:t>
      </w:r>
      <w:r>
        <w:t>https://mcp.opencaselaw.ch/entscheid/vd_gerichte_ZA22.008062</w:t>
      </w:r>
    </w:p>
    <w:p>
      <w:r>
        <w:t>FR: VD_GERICHTE ZA22.008062 du 23 février 2023</w:t>
      </w:r>
    </w:p>
    <w:p>
      <w:r>
        <w:t>IT: VD_GERICHTE ZA22.008062 del 23 febbraio 2023</w:t>
      </w:r>
    </w:p>
    <w:p>
      <w:pPr>
        <w:pStyle w:val="Heading2"/>
      </w:pPr>
      <w:r>
        <w:t>Erwägungen</w:t>
      </w:r>
    </w:p>
    <w:p>
      <w:r>
        <w:rPr>
          <w:b/>
        </w:rPr>
        <w:t>E. 8</w:t>
      </w:r>
    </w:p>
    <w:p>
      <w:r>
        <w:t>septembre 2021, l’échange d’écritures étant déjà terminé lorsque le présent recours a été déposé. La requête de jonction, par ailleurs inopportune, n’a en conséquence plus d’objet. c) Le dossier est pour le reste complet et permet à la Cour de céans de statuer en pleine connaissance de cause. Il n’y a donc pas lieu de compléter l’instruction, comme le requiert le recourant, par la mise en œuvre d’une expertise. En effet, une telle mesure d’instruction ne serait pas de nature à modifier les considérations qui précèdent, puisque les faits</w:t>
      </w:r>
    </w:p>
    <w:p>
      <w:r>
        <w:t>- 22 - pertinents ont pu être constatés à satisfaction de droit (appréciation anticipée des preuves ; ATF 130 II 425 consid. 2.1 ; 122 II 464 consid. 4a ; TF 9C_748/2013 du 10 février 2014 consid. 4.2.1 ; TF 8C_361/2009 du 3 mars 2010 consid. 3.2). 6. a) En définitive, le recours, mal fondé, doit être rejeté et la décision sur opposition rendue le 27 janvier 2022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