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ZA22.001008 vom 16. Juni 2023</w:t>
      </w:r>
    </w:p>
    <w:p>
      <w:r>
        <w:t>VD Tribunal cantonal, 2023-06-16, FR</w:t>
      </w:r>
    </w:p>
    <w:p>
      <w:r>
        <w:rPr>
          <w:b/>
        </w:rPr>
        <w:t xml:space="preserve">Quelle: </w:t>
      </w:r>
      <w:r>
        <w:t>https://mcp.opencaselaw.ch/entscheid/vd_gerichte_ZA22.001008</w:t>
      </w:r>
    </w:p>
    <w:p>
      <w:r>
        <w:t>FR: VD_GERICHTE ZA22.001008 du 16 juin 2023</w:t>
      </w:r>
    </w:p>
    <w:p>
      <w:r>
        <w:t>IT: VD_GERICHTE ZA22.001008 del 16 giugno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une rente d’invalidité de l’assurance-accidents, singulièrement la question de savoir quelle est l’ampleur de la capacité résiduelle de travail dans une activité adaptée aux limitations fonctionnelles.</w:t>
      </w:r>
    </w:p>
    <w:p>
      <w:r>
        <w:rPr>
          <w:b/>
        </w:rPr>
        <w:t>E. 3</w:t>
      </w:r>
    </w:p>
    <w:p>
      <w:r>
        <w:t>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w:t>
      </w:r>
    </w:p>
    <w:p>
      <w:r>
        <w:t>- 10 - psychique de l’assuré, c’est-à-dire qu’il se présente comme la condition sine qua non de celle-ci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140 V 356 consid. 3.2 et la référence ; TF 8C_404/2020 du 11 juin 2021 consid. 6.2.1).</w:t>
      </w:r>
    </w:p>
    <w:p>
      <w:r>
        <w:rPr>
          <w:b/>
        </w:rPr>
        <w:t>E. 4</w:t>
      </w:r>
    </w:p>
    <w:p>
      <w:r>
        <w:t>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w:t>
      </w:r>
    </w:p>
    <w:p>
      <w:r>
        <w:t>- 11 -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w:t>
      </w:r>
    </w:p>
    <w:p>
      <w:r>
        <w:rPr>
          <w:b/>
        </w:rPr>
        <w:t>E. 5</w:t>
      </w:r>
    </w:p>
    <w:p>
      <w:r>
        <w:t>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Il n’est au demeurant pas lié par les faits constatés dans la décision litigieuse (JEAN MÉTRAL, Commentaire romand, Loi sur la partie générale des assurances sociales, 2018, n. 63 ad art. 61 LPGA).</w:t>
      </w:r>
    </w:p>
    <w:p>
      <w:r>
        <w:rPr>
          <w:b/>
        </w:rPr>
        <w:t>E. 6</w:t>
      </w:r>
    </w:p>
    <w:p>
      <w:r>
        <w:t>En l’occurrence, il n’est pas contesté que la recourante présente des séquelles de son accident du 20 août 2014 sous la forme</w:t>
      </w:r>
    </w:p>
    <w:p>
      <w:r>
        <w:t>- 12 - d’une perte de mobilité et une perte de force du poignet droit ainsi que d’une raideur douloureuse. a) Le Dr F.________ a retenu que les suites de l’événement accidentel du 20 août 2014 étaient stabilisées depuis le 7 janvier 2015 au plus tard et qu’il existait des facteurs étrangers à l’accident sous forme de troubles dégénératifs débutants radio-carpiens liés à l’âge et aux travaux physiques de boulangerie ainsi qu’aux nettoyages effectués par le passé par la recourante. Pour ce médecin, la capacité de travail était quasiment nulle, la recourante se trouvant « avec un poignet très limité en mobilité, avec une force fortement diminuée et des douleurs qui l’empêchent quasiment de l’utiliser ». En l’état, la recourante ne pourrait fonctionner qu’en mono-manuelle avec son membre non dominant. b) Pour le Dr H.________, la capacité de travail de la recourante ne pouvait dépasser 50 %, même dans une activité adaptée, compte tenu des douleurs chroniques du poignet droit exacerbées à chaque utilisation, d’une capacité de prise limitée à un kilo de la main droite, de la nécessité du port d’une attelle du poignet et de l’impossibilité de s’appuyer sur la main droite. Ce médecin a notamment souligné l’absence de pathologie dégénérative au poignet de la recourante, d’un signe de maladie inflammatoire ou d’une atteinte dégénérative du cartilage ; l’atteinte isolée du ligament scapho-lunaire ne pouvait donc a priori pas être reliée à une étiologie dégénérative. c) Compte tenu des avis divergents des Drs H.________ et F.________, l’intimée a confié au Dr W.________ la réalisation d’une expertise orthopédique. aa) Dans son rapport du 23 octobre 2020, complété le 5 mars 2021, le Dr W.________ a posé les diagnostics de status après résection de la première rangée du carpe, de conflit styloïde radiale-trapèze et de capsulite rétractile radio-carpienne et a constaté, d’une part, une perte de mobilité du poignet et, d’autre part, une diminution de la force de la pince fine de 50 % et de la prise grossière de 70 % par rapport au côté opposé. Il</w:t>
      </w:r>
    </w:p>
    <w:p>
      <w:r>
        <w:t>- 13 - a par ailleurs expliqué que les troubles actuels présentés par la recourante étaient en relation de causalité naturelle certaine avec l’accident du 20 août 2014. Il a enfin estimé la capacité de travail résiduelle de la recourante comme entière dans une activité adaptée autorisant toutes les positions sauf l’appui sur le poignet droit et le port de charge de la main droite limité à un kilo (par exemple, un travail de bureau léger, un travail de ménage léger ou un travail dans une lingerie sans port de charges lourdes [pli du linge et travaux annexes]). bb) Il n’est toutefois pas possible de reconnaître une pleine valeur probante à l’expertise du Dr W.________. En effet, l’anamnèse établie par ce médecin apparaît particulièrement succincte au regard de l’histoire médicale complexe de la recourante. En particulier, il n’a pas pris connaissance du fait que la recourante avait bénéficié d’une styloïdectomie radiale du poignet, ce qui permet de douter du temps et du sérieux qu’il a consacré à sa tâche. Il convient de préciser que la tentative de la Cour de céans d’obtenir un complément d’expertise de la part du Dr W.________ s’est soldée par un échec, la réponse donnée par ce médecin n’étant pas exploitable. Le Dr W.________ a également fait état d’une perte de mobilité du poignet droit, sans la décrire très précisément. Dans le même temps, il a estimé que la recourante pouvait exercer différentes activités qui, de prime abord, exigent une certaine mobilité du poignet (travail de bureau léger ; travail de ménage léger ; travail dans une lingerie sans port de charges lourdes [pli du linge ou travaux légers]). Par ailleurs, le Dr W.________ ne s’est nullement déterminé au sujet des points de vue des Drs F.________ et H.________, alors même que le but de l’expertise était de départager ces deux opinions, aussi bien sur le plan du diagnostic et des limitations fonctionnelles que sur le plan du lien de causalité naturelle. Sur un plan plus général, il n’y a aucun élément qui permet de soutenir que le point de vue défendu par le Dr W.________ serait plus convaincant que celui défendu par les Drs F.________ ou H.________. En tout état de cause, l’intimée ne fait pas valoir, dans la décision attaquée, d’arguments justifiant de dénier toute valeur probante à l’avis de ces deux médecins.</w:t>
      </w:r>
    </w:p>
    <w:p>
      <w:r>
        <w:t>- 14 - d) Compte tenu des différents avis exprimés au cours de la procédure au sujet de la capacité résiduelle de travail de la recourante et du lien de causalité naturelle entre les troubles présentés par cette dernière et l’accident et du caractère très divergent de ces avis, un complément d’instruction s’avère nécessaire. Au vu des circonstances, singulièrement des graves lacunes mises en évidence à propos de l’expertise du Dr W.________, il convient de renvoyer la cause à l’intimée – à qui il appartient au premier chef d’instruire, conformément au principe inquisitoire qui régit la procédure dans le domaine des assurances sociales selon l’art. 43 al. 1 LPGA –, cette solution apparaissant comme la plus opportune. Il appartiendra à l’intimée de compléter l’instruction, sur le plan médical, en mettant en œuvre une nouvelle expertise orthopédique – conforme aux exigences de l’art. 44 LPGA et tenant compte des remarques formulées dans le présent arrêt – dont la réalisation devra être confiée à un spécialiste en chirurgie de la main. e) Compte tenu de l’issue du litige, la problématique du revenu d’invalide de la recourante, singulièrement de l’étendue de l’abattement sur le salaire statistique pris en compte pour fixer le revenu d’invalide peut, en l’état du dossier, demeurer indécise.</w:t>
      </w:r>
    </w:p>
    <w:p>
      <w:r>
        <w:rPr>
          <w:b/>
        </w:rPr>
        <w:t>E. 7</w:t>
      </w:r>
    </w:p>
    <w:p>
      <w:r>
        <w:t>a) En définitive, le recours doit être admis et la décision attaquée annulée, la cause étant renvoyée à l’intimée pour instruction complémentaire au sens des considérants et nouvelle décision. b) Il n’y a pas lieu de percevoir de frais judiciaires (art. 61 let. fbis LPGA). c) Vu le sort de ses conclusions, la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l’intimée.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