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ZA21.035001 vom 17. März 2022</w:t>
      </w:r>
    </w:p>
    <w:p>
      <w:r>
        <w:t>VD Tribunal cantonal, 2022-03-17, FR</w:t>
      </w:r>
    </w:p>
    <w:p>
      <w:r>
        <w:rPr>
          <w:b/>
        </w:rPr>
        <w:t xml:space="preserve">Quelle: </w:t>
      </w:r>
      <w:r>
        <w:t>https://mcp.opencaselaw.ch/entscheid/vd_gerichte_ZA21.035001</w:t>
      </w:r>
    </w:p>
    <w:p>
      <w:r>
        <w:t>FR: VD_GERICHTE ZA21.035001 du 17 mars 2022</w:t>
      </w:r>
    </w:p>
    <w:p>
      <w:r>
        <w:t>IT: VD_GERICHTE ZA21.035001 del 17 marzo 2022</w:t>
      </w:r>
    </w:p>
    <w:p>
      <w:pPr>
        <w:pStyle w:val="Heading2"/>
      </w:pPr>
      <w:r>
        <w:t>Erwägungen</w:t>
      </w:r>
    </w:p>
    <w:p>
      <w:r>
        <w:rPr>
          <w:b/>
        </w:rPr>
        <w:t>E. 5</w:t>
      </w:r>
    </w:p>
    <w:p>
      <w:r>
        <w:t>Le recourant conteste également le taux d’IPAI fixé par l’intimée.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t>- 36 -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par leurs connaissances et leur expérience professionnelles, ils sont les mieux à même de juger de l’état clinique de l’assuré et de procéder à une évaluation objective de l’atteinte à l’intégrité (TF 8C_566/2017 du 8 mars 2018 consid. 5.1). L’art. 25 al. 2 LAA prévoit que le Conseil fédéral édicte des prescriptions détaillées sur le calcul de l’indemnité pour atteinte à l’intégrité. Selon l’art. 36 al. 2 OLAA, dite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La Division médicale de la CNA a établi des tables d’indemnisation en vue d’une évaluation plus affinée de certaines atteintes (Indemnisation des atteintes à l’intégrité selon la LAA). Sans lier le juge, ces tables sont néanmoins compatibles avec l’annexe 3</w:t>
      </w:r>
    </w:p>
    <w:p>
      <w:r>
        <w:t>- 37 - OLAA (ATF 124 V 209 consid. 4a/cc ; 116 V 156 consid. 3a ; TF 8C_566/2017 précité consid. 5.1). D’après l’art. 36 al. 3 in fine OLAA, il est tenu compte, dans le taux d’indemnisation, des indemnités déjà reçues en vertu de la loi.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 8C_862/2008 du 19 août 2009 consid. 4.2).</w:t>
      </w:r>
    </w:p>
    <w:p>
      <w:r>
        <w:t>- 38 - c) En l’espèce, l'intimée s'est basée sur l'appréciation de la Dre F.________ à la suite de son examen de l'assuré du 23 juillet 2020 pour fixer le taux d'IPAI à 19,38 %. A l'occasion de cet examen, la Dre F.________ a constaté que l'assuré présentait des dorsolombalgies chroniques des suites d'une chute le 17 décembre 2018 ayant entrainé une fracture- tassement de L4, L1 et D12 et fracture de l'apophyse épineuse D12 qui a nécessité une cimentoplastie le 20 décembre 2018 de L1 et L4 et une cimentoplastie de D12 le 11 juin 2019. Elle a relevé que l'assuré ressentait des douleurs importantes, avec des douleurs au repos constantes à 3-4/10 et des douleurs entre 6 et 6.5 lorsqu'il restait assis, marchait, se levait, la douleur atteignant 7/10 lorsque l'effort augmentait ; couché sur le dos, elle déclenchait des douleurs déjà à 10° de flexion des membres inférieurs au niveau lombaire. Elle a également retenu que l'assuré ne devait pas porter de charges. Partant, la médecin d'arrondissement s'est référée à la table 7 de l'Indemnisation des atteintes à l'intégrité selon la LAA, qui prévoit que pour les fractures cervicales, dorsales ou lombaires avec un angle entre 10 et 20 degrés, un taux d'IPAI de 20 à 25 % se justifie lorsque les douleurs sont permanentes, plus ou moins intenses, également la nuit et au repos, avec un charge supplémentaire impossible et des douleurs qui ne diminuent que lentement, après aggravation. Elle a donc estimé qu'au vu des douleurs de l'assuré, un taux de 25 % devait être retenu, lequel devait être pondéré selon l'art. 36 al. 3 OLAA étant donné l'IPAI qui lui avait été allouée ensuite de son premier accident, le 13 juillet 2012, dont le taux s'élevait à 22,5 %. Après pondération, le degré d'atteinte à la santé s'élevait ainsi à 19,375 %. De son côté, le recourant soutient avoir droit à une IPAI d'au moins 35 % sur la base de la table 7 précitée, au motif qu'il souffre d'importantes douleurs. Alors même que la fixation d'une IPAI est une question d'ordre médical, le recourant se limite à faire valoir son propre avis sur la question, mais ne produit aucun élément médical objectif qui soit de nature à remettre sérieusement en cause l'avis de la Dre F.________. En particulier, il n'apporte aucune preuve de l'intensité extrême de ses douleurs, qui justifierait d'appliquer le taux maximal de</w:t>
      </w:r>
    </w:p>
    <w:p>
      <w:r>
        <w:t>- 39 - 35 % prévu par la table 7 de l'Indemnisation des atteintes à l'intégrité selon la LAA. Le recourant invoque en outre que la médecin d’arrondissement de la CNA aurait fait abstraction de ses autres atteintes à la santé dans le cadre de la fixation de l'IPAI, en particulier de la dissociation tête-col de la prothèse totale de la hanche gauche ayant nécessité une intervention chirurgicale le 28 janvier 2019. Il a indiqué que cette atteinte avait possiblement été précipitée par la chute du 17 décembre 2018 selon le rapport établi le 17 juin 2019 par le Dr O.________ et qu'elle justifiait donc une augmentation de l'IPAI en vertu de la table 2 établie par la Division médicale de la CNA. Pour qu’une atteinte soit prise en compte par la CNA dans le calcul de l’IPAI, il faut que celle-ci soit en lien de causalité avec l’accident (cf. consid. 3a supra). A cet égard, le Dr B.________ a indiqué, le 25 mars 2019, que tel n’était pas le cas s’agissant de la dissociation tête-col de la prothèse totale de la hanche gauche, estimant que l’atteinte était due à l’usure de l’implant selon le protocole opératoire du 1er février 2019 lié à l’intervention du 28 janvier 2019. Celui-ci indique effectivement que la dissociation tête-col de la prothèse totale de la hanche gauche a eu lieu sur l’usure du col due à une métallose. L’appréciation du Dr O.________ invoquée par le recourant ne permet pas de remettre en cause cet avis. Ce dernier a en effet indiqué que, bien que le patient ait manifesté des douleurs à la hanche gauche lors de l’accident du 17 décembre 2018, le rapport de radiographie ne montrait pas de fracture à ce niveau et que les radiographies effectuées en janvier 2019 révélaient une lyse du grand trochanter déjà présente sur le comparatif du 18 septembre 2018. A ses yeux, il était difficile de se prononcer sur la nature accidentelle de cette dissociation, puisque le patient n’avait pas de douleurs avant l’accident mais que des signes de déminéralisation étaient déjà constatés sur un cliché antérieur à celui-ci. Dès lors, il lui semblait possible que la dissociation ait été précipitée par l’accident. Les observations du médecin permettent tout au plus de considérer que la relation de causalité est possible, mais celle-ci n’est pas établie au stade de la vraisemblance</w:t>
      </w:r>
    </w:p>
    <w:p>
      <w:r>
        <w:t>- 40 - prépondérante. Aucun autre rapport médical au dossier ne se penche sur la question de ce lien de causalité. On relèvera en outre que l’assuré n’a jamais contesté la communication du 15 mai 2019, par laquelle la CNA a expliqué qu’elle ne prendrait pas en charge les troubles de la hanche gauche ainsi que l’intervention du 28 janvier 2019, en raison de l’absence de relation de causalité pour le moins probable avec l’évènement du 17 décembre 2018. Dans ces conditions, il y a lieu de retenir qu’il n’est pas établi que l’atteinte à la hanche gauche est en lien de causalité avec l’accident, de sorte que c’est à juste titre que la Dre F.________ n’en a pas tenu compte dans son calcul de l’IPAI. Quoi qu’il en soit, les rapports du Prof. C.________, en particulier celui du 10 septembre 2019, attestent que la cicatrice de la hanche gauche est calme, le bassin à niveau et qu’il n’existe pas de vraies douleurs à la palpation ou de la mobilisation de la hanche. Il relève que le bilan radiologique de la hanche gauche est tout à fait satisfaisant, qu’une bonne consolidation a été acquise et que les problèmes dont se plaint le patient sont dus à son dos. Dans ces circonstances, il n’est donc pas établi que l’accident du 17 décembre 2018 ait causé une atteinte importante et durable à la hanche gauche, laquelle justifie l’octroi d’une IPAI. d) Au vu de ce qui précède, il y a lieu de retenir que l'appréciation de la médecin d’arrondissement susmentionnée n'est contredite par aucun élément au dossier, qu'elle est claire, motivée et tient compte des précédentes atteintes à la santé et de l'IPAI déjà allouée en 2014. Elle a donc pleine valeur probante, de sorte que le taux d'IPAI arrondi à 19,38 % doit être confirmé.</w:t>
      </w:r>
    </w:p>
    <w:p>
      <w:r>
        <w:rPr>
          <w:b/>
        </w:rPr>
        <w:t>E. 6</w:t>
      </w:r>
    </w:p>
    <w:p>
      <w:r>
        <w:t>A titre de mesure d’instruction, le recourant a requis la mise en œuvre d’une expertise tendant à déterminer sa capacité de travail résiduelle dans une activité adaptée. Or, il n'a pas contesté l'appréciation de la Dre F.________ à cet égard et, comme vu précédemment, celle-ci est probante et n’est pas mise en doute par les autres médecins consultés.</w:t>
      </w:r>
    </w:p>
    <w:p>
      <w:r>
        <w:t>- 41 - Ainsi, les éléments au dossier sont suffisants pour permettre à la Cour de céans de se prononcer en connaissance de cause, sans requérir un complément d’instruction sous la forme d’une telle expertise. Il y sera dès lors renoncé par appréciation anticipée des preuves (ATF 140 I 285 consid. 6.3.1).</w:t>
      </w:r>
    </w:p>
    <w:p>
      <w:r>
        <w:rPr>
          <w:b/>
        </w:rPr>
        <w:t>E. 7</w:t>
      </w:r>
    </w:p>
    <w:p>
      <w:r>
        <w:t>a) En définitive, le recours, mal fondé, doit être rejeté et la décision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