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ZA21.034487 vom 22. November 2021</w:t>
      </w:r>
    </w:p>
    <w:p>
      <w:r>
        <w:t>VD Tribunal cantonal, 2021-11-22, FR</w:t>
      </w:r>
    </w:p>
    <w:p>
      <w:r>
        <w:rPr>
          <w:b/>
        </w:rPr>
        <w:t xml:space="preserve">Quelle: </w:t>
      </w:r>
      <w:r>
        <w:t>https://mcp.opencaselaw.ch/entscheid/vd_gerichte_ZA21.034487</w:t>
      </w:r>
    </w:p>
    <w:p>
      <w:r>
        <w:t>FR: VD_GERICHTE ZA21.034487 du 22 novembre 2021</w:t>
      </w:r>
    </w:p>
    <w:p>
      <w:r>
        <w:t>IT: VD_GERICHTE ZA21.034487 del 22 novembre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- 7 - b) En l’occurrence, déposé en temps utile compte tenu des féries d’été (art. 60 al. 1 et 38 al. 4 let. b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c’est à bon droit que la CNA a refusé de prendre en charge la rechute annoncée le 9 février 2021.</w:t>
      </w:r>
    </w:p>
    <w:p>
      <w:r>
        <w:rPr>
          <w:b/>
        </w:rPr>
        <w:t>E. 3</w:t>
      </w:r>
    </w:p>
    <w:p>
      <w:r>
        <w:t>a) Aux termes de l’art. 6 al. 1 LAA,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- 8 -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La responsabilité de l’assureur-accidents s’étend, en principe, à toutes les conséquences dommageables qui se trouvent dans un rapport de causalité naturelle et adéquate avec l’événement assuré. Les prestations d’assurance sont donc également allouées en cas de rechutes</w:t>
      </w:r>
    </w:p>
    <w:p>
      <w:r>
        <w:t>- 9 -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8C_232/2019 du 26 juin 2020 consid. 3.3).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8C_450/2019 du 12 mai 2020 consid. 4). d) On précisera encore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(TF 8C_560/2020 du 10 juin 2021 consid. 2.4 ; TF 8C_810/2019 du 7 septembre 2020 consid. 3.3.2 et les références). Si la hernie discale est seulement déclenchée, mais pas provoquée par l’accident, l’assurance-accidents prend en charge le syndrome douloureux lié à l’événement accidentel (RAMA 2000 n° U 378</w:t>
      </w:r>
    </w:p>
    <w:p>
      <w:r>
        <w:t>- 10 - consid. 3, n° U 379 consid. 2a ; TF 8C_292/2014 du 18 août 2014 consid. 4 et TF 8C_373/2013 du 11 mars 2014 consid. 3.3).</w:t>
      </w:r>
    </w:p>
    <w:p>
      <w:r>
        <w:rPr>
          <w:b/>
        </w:rPr>
        <w:t>E. 4</w:t>
      </w:r>
    </w:p>
    <w:p>
      <w:r>
        <w:t>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8C_204/2019 du 12 mai 2020 consid. 5.2). b)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et les références citées ; TF 8C_862/2008 du 19 août 2009 consid. 4.2).</w:t>
      </w:r>
    </w:p>
    <w:p>
      <w:r>
        <w:t>- 11 -</w:t>
      </w:r>
    </w:p>
    <w:p>
      <w:r>
        <w:rPr>
          <w:b/>
        </w:rPr>
        <w:t>E. 5</w:t>
      </w:r>
    </w:p>
    <w:p>
      <w:r>
        <w:t>En l’espèce, le recourant soutient pour l’essentiel que dans la mesure où son médecin traitant, le Dr L.________, fait état d’une origine post-traumatique à sa hernie, en contradiction avec l’appréciation du Dr P.________, il y aurait lieu de compléter l’instruction par la mise en œuvre d’une expertise judiciaire. Il est admis que le recourant présente une atteinte radiculaire C7 droite. Cela étant, rien ne justifie d’écarter l’avis du Dr P.________ au profit de celui du DrL.________, pour plusieurs raisons. En premier lieu, le Dr P.________ ne s’est pas contenté d’étudier le dossier du recourant, mais l’a reçu, et examiné le 20 mai 2021. Dans ce cadre, le DrP.________ a résumé son dossier, listé ses plaintes, puis a procédé à une appréciation du cas, en tenant compte de tous les éléments du dossier. C’est sur cette base que le Dr P.________ a estimé qu’en ce qui concernait l’étiologie des troubles, il ne faisait aucun doute que préexistait à l’accident du 18 juin 2020 une pathologie discale importante pluri- étagée, sans laquelle l’événement accidentel du 18 juin 2020 n’aurait pu provoquer les troubles qu’il avait entraînés. Il a précisé en outre que si les cervico-scapulalgies étaient apparues immédiatement après l’événement accidentel, les brachialgies droites en relation avec la hernie discale C6-C7 n’étaient survenues que plus tardivement, ce qui rendait la relation de causalité entre l’événement accidentel et la hernie discale possible mais non probable ou certaine. Par contre, selon le Dr P.________ les cervico- scapulalgies initiales étaient en relation de causalité certaine avec l’accident. Il découle de ce qui précède que le rapport du Dr P.________, clair, bien étayé et rédigé en pleine connaissance de cause, remplit les réquisits jurisprudentiels permettant de lui reconnaître une pleine valeur probante. Quant au Dr L.________, il ne motive pas son appréciation, laquelle se fonde au demeurant pour l’essentiel sur le principe post hoc ergo propter hoc, étant toutefois rappelé que le seul fait que des</w:t>
      </w:r>
    </w:p>
    <w:p>
      <w:r>
        <w:t>- 12 - symptômes douloureux ne se sont manifestés qu’après la survenance d’un accident ne suffit pas à établir un rapport de causalité naturelle avec cet accident mais qu’il convient en principe d’en rechercher l’étiologie et de vérifier, sur cette base, l’existence du rapport de causalité avec l’événement assuré (ATF 119 V 335 consid. 2b/bb ; TF 8C_383/2018 du</w:t>
      </w:r>
    </w:p>
    <w:p>
      <w:r>
        <w:rPr>
          <w:b/>
        </w:rPr>
        <w:t>E. 10</w:t>
      </w:r>
    </w:p>
    <w:p>
      <w:r>
        <w:t>décembre 2018 consid. 3.1). Ainsi, le fait que l’assuré était un sportif et qu’il n’ait jamais souffert de trouble dans la colonne cervicale n’est pas déterminant pour l’issue du présent litige. Cela étant, le Dr L.________ relève bien que l’assuré présentait en 2016 et 2017 de la cervicarthrose C5-C6 et C6-C7, ce qui rejoint l’avis du DrP.________, selon lequel l’étiologie de la pathologie discale pluri- étagée préexistait à l’accident du 18 juin 2020. A cela s’ajoute que dans son rapport produit à l’appui du recours, du 1er août 2021, le Dr L.________ n’a pas fait état d’éléments nouveaux par rapport à son appréciation enregistrée le 22 mars 2021 par la CNA, dans laquelle il posait déjà le diagnostic de hernie discale C6 post-traumatique. En d’autres termes, le Dr P.________ avait connaissance de l’appréciation du médecin traitant lorsqu’il a examiné l’assuré, le 20 mai 2021, puis a rendu son rapport. Comme indiqué ci-dessus, la situation qui prévaut ici n’est pas celle dans laquelle l’intimée se serait fondée sur l’appréciation de l’un de ses médecins fondée uniquement sur l’étude du dossier, l’assuré ayant au contraire bien été examiné par le Dr P.________ (cf. consid. 4 let. b). Pour le surplus, si le Dr Q.________ a certes indiqué de façon succincte que la rechute n’était pas en lien de causalité pour le moins probable avec l’accident (cf. avis du 26 mai 2021), cela l’a été sur la base de l’examen – probant – du Dr P.________. Au terme du bilan neurologique pratiqué, le Dr P.________ a en effet mis en évidence une limitation très modérée de la mobilité de la nuque. A l’examen des membres supérieurs, il a retrouvé une atteinte radiculaire C7 droite caractérisée par une aréflexie tricipitale et un léger déficit d’extension de l’avant-bras. L’électroneuromyogramme a confirmé l’existence d’une atteinte radiculaire C7 droite, d’aspect subaigu à chronique. L’IRM cervicale du 1er février 2021 a mis en évidence des troubles dégénératifs disco-vertébraux pluri-étagés C4-C7 avec, aux niveaux C4-C5 et C5-C6, une protrusion discale circonférentielle et, au niveau C6-C7, une hernie discale paramédiane et latérale droite</w:t>
      </w:r>
    </w:p>
    <w:p>
      <w:r>
        <w:t>- 13 - comprimant la racine C7 droite. En accord avec une sanction chirurgicale telle que proposée par le Dr J.________, retenant que les troubles trouvaient leur explication dans une atteinte radiculaire C7 et secondairement à la présence d’une hernie discale, le Dr P.________ a estimé que « la relation de causalité entre la hernie discale [était] possible mais non probable ou certaine ». Pour le reste, faute d'éléments médicaux autres que l'existence de la hernie discale paramédiane et latérale droite comprimant la racine C7 droite mise en évidence à l'IRM cervicale du 1er février 2021, il n'y a pas lieu de s'écarter de la jurisprudence constante rendue en matière de hernie discale (cf. consid. 3d supra), la chute n'ayant pas revêtu une importance particulière, ni été de nature à entraîner une lésion du disque intervertébral. Il suit de là que l’intimée était fondée à retenir, au degré de la vraisemblance prépondérante, que les troubles déclarés le 9 février 2021 ne sont pas en relation de causalité naturelle pour le moins probable avec l’accident du 18 juin 2020. 6. Finalement, il y a lieu d’admettre que l’administration de preuves supplémentaires – en particulier la requête tendant à la mise en œuvre d’une expertise judiciaire – ne serait pas de nature à modifier les considérations qui précèdent et qu’il peut ainsi y être renoncé (appréciation anticipée des preuves : cf. ATF 144 II 427 consid. 3.1.3, 140 I 285 consid. 6.3.1 ; 134 I 140 consid. 5.3 ; 130 II 425 consid. 2.1). 7. a) Mal fondé, le recours doit en conséquence être rejeté, ce qui entraîne la confirmation de la décision attaquée.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