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ZA21.021824 vom 18. November 2022</w:t>
      </w:r>
    </w:p>
    <w:p>
      <w:r>
        <w:t>VD Tribunal cantonal, 2022-11-18, FR</w:t>
      </w:r>
    </w:p>
    <w:p>
      <w:r>
        <w:rPr>
          <w:b/>
        </w:rPr>
        <w:t xml:space="preserve">Quelle: </w:t>
      </w:r>
      <w:r>
        <w:t>https://mcp.opencaselaw.ch/entscheid/vd_gerichte_ZA21.021824</w:t>
      </w:r>
    </w:p>
    <w:p>
      <w:r>
        <w:t>FR: VD_GERICHTE ZA21.021824 du 18 novembre 2022</w:t>
      </w:r>
    </w:p>
    <w:p>
      <w:r>
        <w:t>IT: VD_GERICHTE ZA21.021824 del 18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dans le cadre du calcul du degré d’invalidité par comparaison des revenus sans et avec invalidité, la détermination du revenu sans invalidité, le gain hypothétique d’invalide n’étant pas contesté.</w:t>
      </w:r>
    </w:p>
    <w:p>
      <w:r>
        <w:rPr>
          <w:b/>
        </w:rPr>
        <w:t>E. 3</w:t>
      </w:r>
    </w:p>
    <w:p>
      <w:r>
        <w:t>a)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Dans le domaine des assurances sociales, le juge fonde sa décision, sauf dispositions contraires de la loi, sur les faits qui, faute d’être</w:t>
      </w:r>
    </w:p>
    <w:p>
      <w:r>
        <w:t>- 7 -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En l’espèce, l’instruction de la cause a permis d’établir que le recourant ne peut plus exercer son ancienne activité lucrative de maçon mais qu’il dispose, malgré les séquelles qu’il présente au poignet droit et à l’épaule gauche, d’une pleine capacité de travail dans une activité adaptée à ses limitations fonctionnelles (pas de mouvements répétés et prolongés du membre supérieur gauche au-dessus des épaules, pas de port de charges excédant 10 ou 15 kg en-dessous des épaules et pas de port de charges supérieures à 5 kg au-dessus des épaules ; pas de port de charges répété du membre supérieur droit de plus de 5 kg, pas de mouvements répétitifs de la main et du poignet droits et pas de mouvements de serrage avec la main droite). Il n’y a pas lieu de revenir plus avant sur ce point, dès lors qu’il n’est pas contesté par le recourant.</w:t>
      </w:r>
    </w:p>
    <w:p>
      <w:r>
        <w:rPr>
          <w:b/>
        </w:rPr>
        <w:t>E. 4</w:t>
      </w:r>
    </w:p>
    <w:p>
      <w:r>
        <w:t>Cela étant constaté, il convient de déterminer le degré d’invalidité du recourant.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w:t>
      </w:r>
    </w:p>
    <w:p>
      <w:r>
        <w:t>- 8 -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143 V 295 consid. 4.1.3 ; 129 V 222 consid. 4.1 ; 128 V 174). bb) Il ressort en l’occurrence du dossier qu’il convient de retenir comme année de référence pour procéder à la comparaison des revenus l’année 2020. b) Au titre du revenu sans invalidité, l’intimée impute un salaire théorique fondé sur la Convention nationale du Gros œuvre (CN) et salaires vaudois 2020, comme maçon de classe B dans une entreprise quelconque, estimant qu’il n’est pas établi au degré de la vraisemblance prépondérante que l’assuré, qui n’est plus au bénéfice d’un contrat de travail, aurait continué à percevoir le montant du salaire versé par le dernier employeur ; le recourant le conteste en se rapportant au principe selon lequel le revenu sans invalidité est calculé le plus concrètement possible en référence à la dernière rémunération obtenue dans le cadre d’un travail stable.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bb) Lorsque la perte de l’emploi est due à des motifs étrangers à l’invalidité, le revenu sans invalidité doit être établi sur la base de valeurs statistiques ou de moyennes. Autrement dit, n’est pas déterminant pour la fixation du revenu hypothétique de la personne valide le salaire que la personne assurée réaliserait actuellement auprès de son</w:t>
      </w:r>
    </w:p>
    <w:p>
      <w:r>
        <w:t>- 9 - ancien employeur, mais bien plutôt celui qu’elle réaliserait si elle n’était pas devenue invalide (TF 8C_709/2018 du 18 juin 2019 consid. 3 et les références citées). cc) En l’occurrence, le recourant a perdu son emploi à la suite de son accident et, partant, en raison de son invalidité. Aussi, l’intimée n’avait aucune raison objective de s’écarter du revenu que le recourant percevait auprès de son dernier employeur. Aucun élément au dossier ne permet d’affirmer que le recourant n’aurait pas poursuivi son activité auprès de son ancien employeur sans la survenance de son invalidité. dd) Des pièces au dossier, il ressort que le recourant a travaillé comme maçon dans la construction en Suisse, depuis son arrivée en 2006. Lors de l’accident de décembre 2016, suivi par celui d’août 2018, il était salarié à plein temps pour un emploi correspondant à ses aptitudes. Sans certification professionnelle, il rentre certes dans la classe B des ouvriers de la construction au sens de la Convention nationale du Gros œuvre (CN) et salaires vaudois 2020, comme le retient l’intimée. Néanmoins, comme le prévoit précisément dite convention, le travailleur garde en pareil cas sa classification dans la même classe de salaire lors d’un nouvel emploi dans une autre entreprise. Ainsi, on ne voit pas, au degré de la vraisemblance, que le recourant n’aurait pas pu prétendre conserver, sans atteinte à la santé, le niveau de salaire dont il bénéficiait auprès de son dernier employeur. Si cette rémunération, concrète, est légèrement plus élevée que celle, théorique, que l’intimée déduit du barème de la CN, cela peut s’expliquer et se justifier par l’âge et l’expérience professionnelle acquise, ce que tout employeur futur aurait été enclin à reconnaître. Au demeurant, on observe que non seulement l’assurance perte de gain s’est fondée sur ce dernier salaire pour calculer les indemnités journalières, mais que l’Office de l’assurance-invalidité pour le canton de Vaud s’est également fondé sur le dernier salaire, concret, puis indexé, pour calculer le revenu sans invalidité et la perte de gain propre à fonder le degré d’invalidité.</w:t>
      </w:r>
    </w:p>
    <w:p>
      <w:r>
        <w:t>- 10 - Partant, c’est à juste titre que le recourant soutient qu’il convenait de retenir le salaire perçu en dernier lieu avant l’atteinte à la santé, soit 68'248 fr. 53 en 2016, en tenant compte de l’évolution des salaires. L’indexation successive qu’il énonce pour les années 2017 à 2020 étant correcte, il y a lieu d’admettre son calcul et de porter le revenu sans invalidité déterminant à 70'386 fr. 75. c) Pour fixer le revenu d’invalide de 62'339 fr., l’intimée s’est fondée sur les données statistiques résultant de l’Enquête suisse sur la structure des salaires publiée par l’Office fédéral de la statistique. Ce montant n’étant pas contesté, il n’y a pas lieu d’y revenir. d) La comparaison d'un revenu sans invalidité de 70'386 fr. 75 avec un revenu d'invalide de 62’339 fr. aboutit au constat d’une perte de gain de 11 %, supérieur au taux légal de 10 % (cf. considérant 3a supra) et ouvrant dès lors droit à une rente d’invalidité du même pourcentage, avec effet au 1er août 2020.</w:t>
      </w:r>
    </w:p>
    <w:p>
      <w:r>
        <w:rPr>
          <w:b/>
        </w:rPr>
        <w:t>E. 5</w:t>
      </w:r>
    </w:p>
    <w:p>
      <w:r>
        <w:t>En définitive, le recours doit être admis et la décision sur opposition entreprise réformée, en ce sens que le recourant a droit à une rente d’invalidité de l’assurance-accidents de 11 % à compter du 1er août 2020.</w:t>
      </w:r>
    </w:p>
    <w:p>
      <w:r>
        <w:rPr>
          <w:b/>
        </w:rPr>
        <w:t>E. 6</w:t>
      </w:r>
    </w:p>
    <w:p>
      <w:r>
        <w:t>a) Il n’y a pas lieu de percevoir de frais judiciaires (art. 61 let. fbis LPGA). b) Obtenant gain de cause avec l’assistance d’un mandataire qualifié, la partie recourante a droit à une indemnité de dépens à titre de participation aux honoraires de son conseil (art. 61 let. g LPGA) qu’il convient de fixer à 1'500 fr., débours et TVA compris (art. 10 et 11 TFJDA [tarif du 28 avril 2015 des frais judiciaires et des dépens en matière administrative ; BLV 173.36.5.1]), et de mettre intégralement à la charge de la partie intimée.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