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ZA21.021805 vom 12. Juni 2023</w:t>
      </w:r>
    </w:p>
    <w:p>
      <w:r>
        <w:t>VD Tribunal cantonal, 2023-06-12, FR</w:t>
      </w:r>
    </w:p>
    <w:p>
      <w:r>
        <w:rPr>
          <w:b/>
        </w:rPr>
        <w:t xml:space="preserve">Quelle: </w:t>
      </w:r>
      <w:r>
        <w:t>https://mcp.opencaselaw.ch/entscheid/vd_gerichte_ZA21.021805</w:t>
      </w:r>
    </w:p>
    <w:p>
      <w:r>
        <w:t>FR: VD_GERICHTE ZA21.021805 du 12 juin 2023</w:t>
      </w:r>
    </w:p>
    <w:p>
      <w:r>
        <w:t>IT: VD_GERICHTE ZA21.021805 del 12 giugno 2023</w:t>
      </w:r>
    </w:p>
    <w:p>
      <w:pPr>
        <w:pStyle w:val="Heading2"/>
      </w:pPr>
      <w:r>
        <w:t>Erwägungen</w:t>
      </w:r>
    </w:p>
    <w:p>
      <w:r>
        <w:rPr>
          <w:b/>
        </w:rPr>
        <w:t>E. 25</w:t>
      </w:r>
    </w:p>
    <w:p>
      <w:r>
        <w:t>à 30 % d’IPAI à eux seuls selon la table 19 de la Caisse nationale suisse d’assurance en cas d’accidents (ci-après : la CNA), et de ses troubles somatiques. Pour étayer ses dires, le recourant a produit le rapport du</w:t>
      </w:r>
    </w:p>
    <w:p>
      <w:r>
        <w:rPr>
          <w:b/>
        </w:rPr>
        <w:t>E. 29</w:t>
      </w:r>
    </w:p>
    <w:p>
      <w:r>
        <w:t>janvier 2021 est contradictoire, en ce sens qu’il fait état d’une forte dégradation de l’état psychique du patient et atteste une incapacité de travail à 80 %, tandis que le Dr G.________ l’estimait à 100 % dans ses précédents rapports, ce qui laisse à penser que l’état de santé se serait en réalité amélioré. Il y a finalement lieu de retenir que l’expertise du R.________ a pleine valeur probante et que le recourant ne présente pas d’atteinte invalidante sur le plan psychiatrique. Cela étant, et par surabondance, on relèvera que même dans l’éventualité où une telle atteinte existait, la relation de causalité adéquate entre celle-ci et l’événement accidentel devrait quoi qu’il en soit être niée, pour les raisons décrites ci-après. Pour procéder à la classification des accidents selon leur gravité, il convient non pas de s’attacher à la manière dont l’assuré a ressenti et assumé le choc traumatique, mais bien plutôt de se fonder, d’un point de vue objectif, sur l’événement accidentel lui-même (ATF 115 V 133 consid. 6c/aa ; 115 V 403 consid. 5c/aa ; TF 8C_804/2014 du 16 novembre 2015 consid. 3.1).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8C_816/2012 du 4 septembre 2013 consid. 7.2 et les références citées). La jurisprudence a régulièrement qualifié des collisions frontales comme étant de gravité moyenne au maximum à la moitié de cette catégorie (TF 8C_494/2014 du 11 décembre 2014 consid. 4.1 avec les références citées). En particulier, selon le Tribunal fédéral, un accident de la circulation lors duquel un assuré, qui s’était engagé avec sa voiture à une vitesse de 80 km/h sur la voie de circulation opposée, avait percuté une première voiture arrivant en sens inverse, puis subi une collision frontale avec une seconde voiture, son véhicule ayant été projeté dans</w:t>
      </w:r>
    </w:p>
    <w:p>
      <w:r>
        <w:t>- 41 - une prairie voisine et les airbags s’étant déclenchés, devait être qualifié d’accident de gravité moyenne au sens strict (TF 8C_720/217 du 12 mars 2018 consid. 4.3). Ont été qualifiés d'accidents de gravité moyenne, à la limite des accidents graves, une perte de maîtrise sur l’autoroute à la suite de l’éclatement d’un pneu alors que le véhicule roulait à 95 km/h et qu’il s’est immobilisé sur le toit (TFA U 161/01 du 25 février 2003), une violente collision frontale, suivie d’une collision latérale avec une troisième voiture (ATFA D. du 30 décembre 1998), ainsi qu’une collision frontale entre deux véhicules à laquelle a succédé un choc avec une troisième voiture, accident au cours duquel l'assuré a subi diverses blessures, dont la mère a eu des côtes fracturées et dont le père est décédé au cours d’une opération consécutive à l’accident (exemples cités dans l'arrêt TF U 307/06 du 14 février 2007 consid. 4.2). A été qualifiée de grave, une collision frontale lors de laquelle deux personnes ont été tuées et l'assuré grièvement blessé (TFA U 145/94 du 15 décembre 1994). En l’occurrence, au vu de la jurisprudence précitée, l’accident de la voie publique subi le 26 août 2016 par le recourant, lors duquel celui- ci a subi une collision quasiment frontale à environ 80 km/h avec une autre voiture, l’arrière de son véhicule s’étant soulevé, ayant pivoté et s’étant immobilisé perpendiculairement à la chaussée et les secours ayant dû procéder à sa désincarcération, doit être qualifié de gravité moyenne au sens strict, à l’instar de ce qu’a retenu l’intimée. Le recourant ne peut être suivi lorsqu’il affirme que l’accident serait grave, les forces en présences n’étant pas suffisamment importantes. Cela signifie qu’un cumul de trois critères sur les sept ou que l'un des critères se manifeste avec une intensité particulière est nécessaire pour qu'on puisse admettre le caractère adéquat de l'atteinte psychique (cf. consid. 4c supra). Les circonstances concomitantes particulièrement dramatiques ou le caractère particulièrement impressionnant de l'accident (ATF 115 V 133 consid. 6c/aa et 403 consid. 5c/aa) s'apprécient d'un point de vue objectif ; il ne faut pas s'attacher à la manière dont la victime a ressenti</w:t>
      </w:r>
    </w:p>
    <w:p>
      <w:r>
        <w:t>- 42 - l'accident, singulièrement au sentiment de peur qui en résulte (TF 8C_398/2012 du 6 novembre 2012 consid. 6.1 in SVR 2013 UV n° 3 p. 9 ; 8C_100/2011 du 1er juin 2011 consid. 3.5.1 in SVR 2012 UV n° 2 p. 7). Il faut observer qu'à tout accident de gravité moyenne est associé un certain caractère impressionnant, lequel ne suffit pas pour admettre l'existence du critère en question (TFA U 287/97 du 20 novembre 1998 consid. 3b/cc, in RAMA 1999 n° U 335 p. 207 ss ; plus récemment 8C_560/2015 du 29 avril 2016 consid. 4.4.1). En l’espèce, le fait que l’assuré n’ait pas perdu connaissance durant l’accident, en gardant dès lors un souvenir clair, et qu’il a dû être désincarcéré de son véhicule durant une heure, confère certes à l’accident un certain caractère impressionnant, mais pas dans une mesure excédant notablement ce qui est inhérent à l’implication dans un accident de la circulation routière de gravité moyenne. Ce critère n’est ainsi pas réalisé. Les multiples fractures subies par le recourant, majoritairement aux membres inférieurs et également au coude gauche, même si elles ont nécessité des interventions chirurgicales en urgence, n’ont pas mis sa vie en danger et ne sont pas des lésions physiques propres, selon l’expérience, à entraîner des troubles psychiques (ATF 140 V 356 consid. 5.5.1 et les références citées). Quand bien même le recourant subit des limitations à la marche (boiterie), le seuil de gravité qui pourrait justifier l’admission du critère n’apparaît pas atteint. En outre, le fait que des séquelles accidentelles imposent à l’assuré de changer de profession est insuffisant pour retenir ce critère (TF 8C_566/2013 du 18 août 2014 consid. 6.2.2). En ce qui concerne l'examen du critère de la durée anormalement longue du traitement médical, il faut uniquement prendre en compte le traitement thérapeutique nécessaire. N'en font pas partie les mesures d'instruction médicale et les simples contrôles chez le médecin (TF 8C_383/2013 du 1er avril 2014 consid. 7.2.4 et les références citées). Par ailleurs, l'aspect temporel n'est pas seul décisif ; sont également à prendre en considération la nature et l'intensité du traitement, et si l'on</w:t>
      </w:r>
    </w:p>
    <w:p>
      <w:r>
        <w:t>- 43 - peut en attendre une amélioration de l'état de santé de l'assuré (TF 8C_755/2012 du 23 septembre 2013 consid. 4.2.3 ; 8C_361/2007 du 6 décembre 2007 consid. 5.3 ; U 92/06 du 4 avril 2007 consid. 4.5 avec les références citées). La prise de médicaments antalgiques et la prescription de traitements par manipulations même pendant une certaine durée ne suffisent pas à fonder ce critère (TF 8C_804/2014 précité consid. 5.2.2 et les références citées). La jurisprudence a nié que ce critère fût rempli notamment dans le cas d'un assuré dont le traitement médical du membre inférieur accidenté avait consisté en plusieurs opérations chirurgicales et duré cinq ans (TF 8C_249/2018 du 12 mars 2019 consid. 5.2.3). En l’occurrence, le recourant a été hospitalisé au H.________ du 26 août au 13 septembre 2016, période durant laquelle il a subi trois opérations, puis du 21 au 24 septembre 2016, pour une quatrième opération. Il a séjourné à la S.________ du 18 octobre au 22 novembre 2016. A sa sortie, il a suivi des séances de physiothérapie en ambulatoire, s’est rendu régulièrement à des visites de contrôle au H.________ et a pris des médicaments antalgiques. De manière générale, l’état de santé du recourant s’est nettement amélioré, sous réserve de la fracture complexe du fémur distal gauche qui ne se consolidait pas bien (cf. rapport du 24 novembre 2017 du Dr Z.________). Il a ainsi à nouveau été opéré le 23 mars 2018, ce qui a nécessité une hospitalisation de deux jours, puis une dernière fois le 31 janvier 2020 pour une ablation du matériel d’ostéosynthèse au niveau du fémur distal gauche et du tibia proximal droit, ayant également exigé une hospitalisation de deux jours (cf. rapport du 11 mars 2020 du Dr Z.________). On constate donc que l’assuré a certes subi six interventions chirurgicales sur une période de trois ans et six mois, mais que les hospitalisations y relatives ont été de relativement courte durée. Pour le reste, l'essentiel du traitement médical a consisté en des mesures conservatrices. Dans ces circonstances, on ne saurait considérer que le traitement ait été anormalement long ou que le recourant ait été astreint à un traitement particulièrement lourd ou contraignant au sens de la jurisprudence.</w:t>
      </w:r>
    </w:p>
    <w:p>
      <w:r>
        <w:t>- 44 - Il n’y a pas non plus eu d’erreur dans le traitement médical entraînant une aggravation notable des séquelles de l’accident. Quant au critère des difficultés apparues au cours de la guérison et des complications importantes, on peut relever que l’assuré a souffert d’un retard dans la consolidation de la fracture du fémur distal gauche, ayant nécessité une reprise chirurgicale le 23 mars 2018 qui, malgré des suites opératoires favorables, avait nécessité un traitement de Rocéphine pour combattre un Cutibacterium acnes (cf. rapport du 4 avril 2018 du Dr Z.________), puis une dernière intervention chirurgicale le</w:t>
      </w:r>
    </w:p>
    <w:p>
      <w:r>
        <w:rPr>
          <w:b/>
        </w:rPr>
        <w:t>E. 31</w:t>
      </w:r>
    </w:p>
    <w:p>
      <w:r>
        <w:t>janvier 2020. On peut donc admettre, avec l’intimée, que ce critère est rempli. Pour que le critère relatif à l’intensité des douleurs soit rempli, il faut que des douleurs importantes aient été présentes sans interruption notable entre l’accident et la clôture du cas. En l’occurrence, le recourant présente certes des douleurs persistantes, mais les pièces médicales au dossier ne permettent pas de les considérer comme objectivement importantes. A cet égard, la médication antalgique n’a concerné que la phase initiale du traitement et le recourant a ensuite arrêté tout traitement antalgique (cf. expertise pluridisciplinaire du 16 août 2019, page 14). De même, les experts du R.________ ont relevé que l’examen clinique montrait plutôt un résultat mécanique satisfaisant, qui n’expliquait pas complètement les importantes douleurs décrites (cf. idem, p. 32). Enfin, le degré et la durée de l’incapacité de travail due aux lésions physiques ne se mesurent pas uniquement au regard de la profession antérieurement exercée par l’assuré. Ainsi, ce critère n’est pas rempli lorsque l’assuré est apte, même après un certain laps de temps, à exercer à plein temps une activité adaptée aux séquelles accidentelles qu’il présente (TF 8C_208/2016 du 9 mars 2017 consid. 4.1.2). En l’occurrence toutefois, une capacité de travail entière a été reconnue au recourant dans une activité adaptée en août 2019, puis une nouvelle incapacité de travail est survenue en raison de l’opération du 31 janvier</w:t>
      </w:r>
    </w:p>
    <w:p>
      <w:r>
        <w:t>- 45 - 2020, et ce durant plusieurs mois. L’incapacité de travail a ainsi duré plus de trois ans après l’accident survenu en août 2016, ce qui apparaît particulièrement long selon la jurisprudence (cf. TF 8C_116/2009 du 26 juin 2009 consid. 4.6), si bien qu’il convient de retenir que ce critère est réalisé. Compte tenu du fait que seuls deux critères sur sept sont réalisés en l’espèce, il y aurait quoi qu’il en soit lieu de nier l’existence d’un lien de causalité adéquate entre une éventuelle atteinte psychique et l’événement accidentel du 26 août 2016. Cela signifie que l’assureur- accidents n’a pas à prendre en charge les conséquences d’une telle atteinte. b) Le recourant fait valoir que son état de santé psychique ne serait pas stabilisé, de sorte que l’intimée devrait poursuivre la prise en charge de son traitement médical et le versement des indemnités journalières. Comme examiné ci-dessus, il apparaît que le recourant ne présente aucune atteinte psychiatrique et que, même si tel était le cas, J.________ n’aurait pas à en tenir compte (cf. consid. 8a bb supra). L’argument de ce dernier tombe ainsi à faux. En outre, il est établi que l’état de santé physique de l’assuré est stabilisé, ce qui n’est pas contesté par ce dernier. Dans ces circonstances, l’intimée a à bon droit mis un terme au versement de l’indemnité journalière et à la prise en charge des frais médicaux dès le 30 septembre 2020. c) S’agissant des répercussions dues aux atteintes à la santé physique du recourant sur sa capacité de travail, l’intimée s’est fondée sur l’appréciation des experts du R.________ pour retenir que l’assuré disposait d’une pleine capacité de travail dans une activité adaptée, à savoir une activité principalement en position assise, avec des déplacements à pied limités à environ quinze minutes sur un sol stable, sans escalier et sans</w:t>
      </w:r>
    </w:p>
    <w:p>
      <w:r>
        <w:t>- 46 - charge. Comme examiné précédemment (cf. consid 8a aa et bb supra), l’expertise est probante et n’est pas sérieusement remise en question par les éléments médicaux au dossier. En particulier, le rapport du 29 janvier 2021 du Dr G.________ et de Mme K.________ invoqué par le recourant attestant une incapacité de travail de 80 % quelle que soit l’activité n’est pas convaincant et il ne saurait quoi qu’il en soit en être tenu compte, en tant qu’il concerne une éventuelle atteinte psychiatrique. Il se justifie par conséquent de conclure, en lien avec les atteintes physiques du recourant, que celui-ci dispose d’une pleine capacité de travail dans une activité adaptée. 9. Pour le surplus, le calcul du degré d’invalidité opéré par l’intimée n’est pas contesté et peut être confirmé. L’intimée s’est renseignée auprès du dernier employeur du recourant sur le salaire que celui-ci aurait touché dans son activité en 2020 s’il avait continué à travailler, lequel aurait été de 57'200 francs. Pour calculer son salaire avec invalidité, J.________ s’est référée aux données salariales statistiques résultant de l’Enquête suisse sur les salaires, sur lesquelles elle a procédé à un abattement de 5 % pour tenir compte des limitations fonctionnelles de l’intéressé, arrivant à un salaire annuel de 57'243 fr. 30. Aussi, en l’absence de perte de gain indemnisable, c'est à juste titre que l'intimée a refusé l'octroi de toute rente, le seuil de 10 % ouvrant le droit à cette prestation n'étant pas atteint. 10. Le recourant reproche encore à l’intimée d’avoir retenu un taux d’indemnité pour atteinte à l’intégrité insuffisant. Il estime avoir droit à une IPAI de 40 à 60 %, compte tenu de ses troubles physiques et de ses troubles psychiques, lesquels justifieraient 25 à 30 % d’atteinte à l’intégrité à eux seuls selon la table 5 de la CNA. a) L’intimée a fixé l’indemnité pour atteinte à l’intégrité à 20 % sur la base des conclusions des experts du R.________, en particulier du Dr X.________. Dans son complément d’expertise du 20 juillet 2020, celui-ci a indiqué que le taux d’atteinte à l’intégrité était nul sur le plan</w:t>
      </w:r>
    </w:p>
    <w:p>
      <w:r>
        <w:t>- 47 - orthopédique, puisqu’il n’existait en l’état peu ou pas de limitations des amplitudes articulaires. Il n’existait pas non plus d’atteinte à l’intégrité sur le plan psychique. Sur le plan neurologique en revanche, l’expertise du 16 août 2019 reconnaissait une perte d’intégrité de 20 % en raison de l’atteinte partielle du nerf fessier, ainsi que de l’atteinte partielle du tronc du nerf sciatique à prédominance du nerf sciatique poplité externe, de sorte que l’atteinte à l’intégrité se montait à 20 % au total. b) L’évaluation des experts du R.________ paraît convaincante. En outre, alors même que la fixation d'une IPAI est une question d'ordre médical, le recourant se limite à faire valoir son propre avis sur la question, mais ne produit aucun élément médical objectif qui soit de nature à remettre sérieusement en cause l'avis des experts. Du reste, comme examiné ci-avant (cf. consid 8a bb supra), les troubles psychiques invoqués par le recourant ne sont pas avérés et, dans tous les cas, pas en lien de causalité adéquate avec l’accident et ne peuvent ainsi être pris en considération dans le cadre de l’examen de l’IPAI. c) C’est par conséquent à juste titre que J.________ a fixé à 20 % l’indemnité pour atteinte à l’intégrité à laquelle le recourant a droit. 11. 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 12. a) En définitive, le recours, mal fondé, doit être rejeté et la décision sur opposition litigieuse confirmée.</w:t>
      </w:r>
    </w:p>
    <w:p>
      <w:r>
        <w:t>- 48 -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