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ZA21.021170 vom 15. März 2022</w:t>
      </w:r>
    </w:p>
    <w:p>
      <w:r>
        <w:t>VD Tribunal cantonal, 2022-03-15, FR</w:t>
      </w:r>
    </w:p>
    <w:p>
      <w:r>
        <w:rPr>
          <w:b/>
        </w:rPr>
        <w:t xml:space="preserve">Quelle: </w:t>
      </w:r>
      <w:r>
        <w:t>https://mcp.opencaselaw.ch/entscheid/vd_gerichte_ZA21.021170</w:t>
      </w:r>
    </w:p>
    <w:p>
      <w:r>
        <w:t>FR: VD_GERICHTE ZA21.021170 du 15 mars 2022</w:t>
      </w:r>
    </w:p>
    <w:p>
      <w:r>
        <w:t>IT: VD_GERICHTE ZA21.021170 del 15 marzo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la poursuite de la prise en charge par l’assurance-accidents au-delà du 27 novembre 2020.</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w:t>
      </w:r>
    </w:p>
    <w:p>
      <w:r>
        <w:t>- 16 -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3.2).</w:t>
      </w:r>
    </w:p>
    <w:p>
      <w:r>
        <w:t>- 17 -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w:t>
      </w:r>
    </w:p>
    <w:p>
      <w:r>
        <w:t>- 18 -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5</w:t>
      </w:r>
    </w:p>
    <w:p>
      <w:r>
        <w:t>Le syndrome douloureux régional complexe (SDRC), également appelé CRPS, algo(neuro)dystrophie ou maladie de Sudeck, constitue une entité associant la douleur à un ensemble de symptômes et de signes non spécifiques qui, une fois assemblés, fondent un diagnostic précis. L'International Association for the Study of Pain (IASP) a réalisé un consensus diagnostique aussi complet que possible avec la validation, en 2010, des critères dits de Budapest, à savoir : 1)Une douleur continue disproportionnée par rapport à l’événement déclenchant 2)Le patient doit rapporter au moins un symptôme dans trois des quatre catégories suivantes : - Sensorielle : hyperesthésie et/ou allodynie</w:t>
      </w:r>
    </w:p>
    <w:p>
      <w:r>
        <w:t>- 19 - - Vasomotrice : asymétrie de la température et/ou changement/asymétrie de la coloration de la peau - Sudomotrice/œdème : œdème et/ou changement/asymétrie de la sudation - Motrice/trophique : diminution de la mobilité et/ou dysfonction motrice (faiblesse, tremblements, dystonie) et/ou changements trophiques (poils, ongles, peau) 3)Au moment de l’examen clinique, le patient doit démontrer au moins un signe clinique dans deux des quatre catégories suivantes : - Sensorielle : hyperalgésie (à la piqûre) et/ou allodynie (au toucher léger et/ou à la pression somatique profonde et/ou à la mobilisation articulaire) - Vasomotrice : asymétrie de température et/ou changement/asymétrie de coloration de la peau - Sudomotrice/œdème : œdème et/ou changement/asymétrie au niveau de la sudation - Motrice/trophique : diminution de la mobilité et/ou dysfonction motrice (faiblesse, tremblements, dystonie) et/ou changements trophiques (poils, ongles, peau) 4)Aucun autre diagnostic n’explique mieux les signes et symptômes Ces critères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(TF 8C_416/2019 consid. 5.1 et les réf. citées, en particulier Luthi et al., Syndrome douloureux régional complexe, in Revue Médicale Suisse, 27 février 2019, p. 495 ss).</w:t>
      </w:r>
    </w:p>
    <w:p>
      <w:r>
        <w:t>- 20 - Le SDRC appartient aux maladies neurologiques, orthopédiques et traumatologiques et constitue ainsi une atteinte à la santé physique, respectivement corporelle (cf. TF 8C_955/2008 du 29 avril 2009 consid. 6). Pour admettre un lien de causalité entre l’accident et un syndrome douloureux régional complexe, le Tribunal fédéral a considéré que trois critères cumulatifs doivent être remplis, à savoir (TF 8C_416/2019 consid. 5.2 ; 8C_796/2016 du 14 juin 2017 consid. 3.2 et les références citées) : a) la preuve d’une lésion physique après un accident (p. ex. un hématome ou une enflure) ou l’apparition d’une algodystrophie à la suite d’une opération nécessitée par l’accident ; b) l’absence d’un autre facteur causal de nature non traumatique (p. ex. état après infarctus du myocarde, après une apoplexie, etc.) ; c) une courte période de latence entre l’accident et l’apparition de l’algodystrophie, soit au maximum six à huit semaines.</w:t>
      </w:r>
    </w:p>
    <w:p>
      <w:r>
        <w:rPr>
          <w:b/>
        </w:rPr>
        <w:t>E. 6</w:t>
      </w:r>
    </w:p>
    <w:p>
      <w:r>
        <w:t>a)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(cf.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TF 8C_135/2011 du</w:t>
      </w:r>
    </w:p>
    <w:p>
      <w:r>
        <w:t>- 21 - 21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1er février 2010 consid. 6.1 et les références citées). Il faut également que l’existence d’un tel traumatisme et de ses suites soit dûment attestée par des renseignements médicaux fiables (ATF 134 V 109 consid. 9 ; 119 V 335 consid. 1 et 117 V 359 consid. 4b). b) Pour l’examen de la causalité adéquate en présence d’un traumatisme de type « coup du lapin » à la colonne cervicale, d’un traumatisme analogue à la colonne cervicale ou d’un traumatisme cranio- 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citées ; 115 V 133 consid. 6c/aa et 115 V 403 consid. 5c/aa).</w:t>
      </w:r>
    </w:p>
    <w:p>
      <w:r>
        <w:t>- 22 - Dans le cadre du premier cas de figure, la méthode spécifique instaurée par la jurisprudence pour examiner le lien de causalité adéquate impose d’opérer une classification des accidents en fonction de leur degré de gravité et d’appliquer les critères objectifs – dont le Tribunal fédéral a reconnu le caractère exhaustif – formulés de la manière suivante (ATF 134 V 109 consid. 10.3 ; TF 8C_220/2016 du 10 février 2017 consid. 6.1)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(ATF 134 V 109 consid. 10.2).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129 V 402 consid. 4.4.1 ; TF 8C_892/2012 du 29 juillet 2013 consid. 3.2).</w:t>
      </w:r>
    </w:p>
    <w:p>
      <w:r>
        <w:t>- 23 - c) L’examen de la causalité adéquate implique donc, dans un premier temps, de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403 consid. 5c/aa ; TF 8C_175/2010 du 14 février 2011 consid. 4.2 et les réf. citées).</w:t>
      </w:r>
    </w:p>
    <w:p>
      <w:r>
        <w:rPr>
          <w:b/>
        </w:rPr>
        <w:t>E. 7</w:t>
      </w:r>
    </w:p>
    <w:p>
      <w:r>
        <w:t>En l’espèce, la recourante fait valoir que l’intimée n’a pas suffisamment investigué à propos du diagnostic de SDRC. Elle lui reproche également de ne pas avoir examiné la situation sous l’angle de la jurisprudence relative au coup du lapin. A titre liminaire, il convient de relever que durant l’été 2020, la recourante s’est rendue en [...] afin d’y passer une série d’examens médicaux. Elle a fait traduire en français les rapports des différentes IRM qu’elle a obtenus, et les a fournis aux médecins qu’elle a consultés à son retour en Suisse, ainsi qu’à l’intimée. Elle a également produit la traduction d’une « fiche de consultation » établie le 23 septembre 2020 par la Dre L.________. Ce dernier document présente en premier lieu une longue liste d’atteintes, suivie de rubriques intitulées successivement « SUBJECTIF », comportant ce qui semble être la liste des plaintes de la recourante, « EXAMEN OBJECTIF NEUROLOGIQUE », « RECOMMANDATIONS / PLAN D’INVESTIGATION », avec des recommandations diététiques, comportementales ou de spécialistes à consulter, et enfin « TRAITEMENT », consistant en une liste de médicament avec la posologie. Il n’est cependant pas précisé si la liste d’atteintes du début concerne des diagnostics posés par le médecin ou ses pistes d’investigation. Par ailleurs, aucune rubrique ne contient d’anamnèse, de discussion, ni de conclusion motivée exploitable. Par conséquent, ce rapport s’avère dépourvu de toute valeur probante.</w:t>
      </w:r>
    </w:p>
    <w:p>
      <w:r>
        <w:t>- 24 - Cela étant, il y a lieu de constater en premier lieu que la recourante ne conteste pas l’appréciation de l’intimée, selon laquelle aucune atteinte d’ordre psychique n’est en lien de causalité avec l’accident du 26 novembre 2019. Sur ce point, l’intimée s’est fondée sur les conclusions de l’expertise pluridisciplinaire du 27 mai 2020. Le volet psychiatrique de l’expertise a été établi par un médecin spécialisé en psychiatrie et psychothérapie, sur la base d’un entretien avec la recourante. Son rapport, annexé à l’analyse pluridisciplinaire, comprend une anamnèse complète de l’intéressée, incluant les plaintes de celle-ci. Les conclusions, qui aboutissent en l’occurrence à l’absence de diagnostic sur le plan psychique, sont étayées. L’expertise psychiatrique est donc complète et remplit tous les réquisits de la jurisprudence en la matière. Une pleine valeur probante doit par conséquent lui être reconnue, de sorte que l’on doit retenir l’absence d’atteinte d’ordre psychique.</w:t>
      </w:r>
    </w:p>
    <w:p>
      <w:r>
        <w:rPr>
          <w:b/>
        </w:rPr>
        <w:t>E. 8</w:t>
      </w:r>
    </w:p>
    <w:p>
      <w:r>
        <w:t>a) S’agissant du SDRC ou CRPS, la recourante considère que ce diagnostic a été posé dès avril 2020 et se réfère, en particulier, aux rapports établis par le Dr T.________. En réalité, les différents médecins qui ont examiné l’intéressée ne sont pas aussi affirmatifs. Dans le rapport d’IRM du 28 février 2020, il a été exclu que la symptomatologie du bras soit liée au rétrécissement foraminal débutant en C5-C6, à une myélopathie ou à un canal cervical étroit. Le radiologue évoquait en revanche un phénomène de Raynaud ou un tunnel carpien. Le Dr V.________ consulté en mars 2020 allait dans le même sens, face à un examen électromyographique normal en février 2020. Puis, le 23 avril 2020, le Dr H.________ a évoqué, alors que les examens cliniques étaient normaux, la possibilité d’un SDRC tout en relevant l’absence de signes objectifs de ce syndrome. Consulté le même jour, le Dr T.________ a indiqué qu’il existait des éléments minimaux pour évoquer un SDRC, « sans conviction absolue » et sans formellement le diagnostiquer. Il a ajouté que les éléments dans le sens de ce diagnostic étaient « discrets et peu nombreux » et que le diagnostic de SDRC n’apparaissait « pas complètement convaincant ». Il a cependant préconisé une prise en charge de la recourante similaire à celle qui est proposée en cas de SDRC,</w:t>
      </w:r>
    </w:p>
    <w:p>
      <w:r>
        <w:t>- 25 - tout en observant que le séjour à la D.________ permettrait d’investiguer la problématique de manière plus approfondie. Il convient ici de relever, comme pour l’évaluation psychique, que le volet somatique de l’évaluation interdisciplinaire de la D.________ comprend une anamnèse complète de l’intéressée reprenant les plaintes de celle-ci, un examen clinique poussé et des conclusions s’appuyant sur l’ensemble du dossier, de sorte qu’elle remplit également tous les réquisits de la jurisprudence en la matière. Or, les médecins de la D.________ n’ont pas formellement diagnostiqué un SDRC de type I, puisqu’ils l’ont mentionné comme diagnostic « possible ». A l’examen clinique du bras droit, ils ont observé ce qui suit : « Mains/poignets – à l’inspection, on note une discrète tuméfaction autant palmaire que dorsale intéressant les 3e, 4e et 5e rayon à droite avec des circonférences au niveau des phalanges proximales et intermédiaires de 3 à 5 mm supérieur à droite. De même, sans que les périmètres à la hauteur des [métacarpiens] soient asymétriques, on note un empâtement du thénar et hypothénar et de la face palmaire en regard des têtes des [métacarpo- phalangiennes]. Il n’y a pas de différence de coloration, de température au thermomètre infrarouge ni de la sudation. Au niveau des mobilités articulaires : l’enroulement des doigts est complet à gauche, à droite distance pulpes-paume 0 cm mais avec un déficit de 20 à 30° des [articulations interphalangiennes distales] qu’on arrive à enrouler complètement en passif au détriment des douleurs avec une sensation de blocage par augmentation de volume des parties molles, aux dires de la patiente. Empan à 19 cm des deux côtés. Opposition selon Kapandji 10/10 des deux côtés. Poignets F/E 80/70° des deux côtés. Prosupination 80-0-90° des deux côtés. Au testing musculaire, la force des interosseux, lombricaux, thénar, hypothénar, fléchisseurs extenseurs du carpe est symétrique. Au testing de la sensibilité, il n’y pas d’allodynie. La patiente déclare des dysesthésies, plutôt hypoesthésie des dernières trois phalanges plutôt versant palmaire de D3 à D5, de manière tout de même difficilement reproductible. Tinel négatif au canal carpien et au coude. » Ils ont par ailleurs noté, s’agissant du pronostic médico- théorique d’une reprise professionnelle, qu’il était tributaire du possible syndrome régional complexe douloureux mais que la recourante présentait les facteurs d’évolution favorables suivants : « des symptômes encore modestes : l’absence de raideur, de franc signe vasomoteur, de kinésiophopie et en dépit d’une latéralisation à gauche des activités</w:t>
      </w:r>
    </w:p>
    <w:p>
      <w:r>
        <w:t>- 26 - monomanuelles, une volonté d’utiliser également le membre supérieur droit dans les activités bimanuelles, absence d’allodynie et d’un trouble psychique constitué », tandis que les facteurs pouvant freiner la réinsertion professionnelle étaient les capacités fonctionnelles se situant en dessous des exigences d’un poste dans la restauration, l’incapacité cervicale ainsi que des facteurs sociaux. En d’autres termes, les médecins de la D.________ ont observé certains éléments diagnostics du SDRC, mais pas suffisamment pour pouvoir le retenir. En regard des critères de Budapest repris par la jurisprudence en la matière, on observe en effet que, lors de son séjour à la D.________, l’assurée n’a pas rapporté au moins un symptôme dans trois des quatre catégories déterminées et que, si les experts ont bien observé un signe clinique dans deux des quatre catégories, ces signes sont décrits comme faibles. Les rapports des médecins consultés par la recourante par la suite ne remettent pas en cause les conclusions des médecins de la D.________. Ainsi, le 14 juillet 2020, le Dr X.________ prend note du fait que les plaintes de la patiente en relation avec son bras droit sont attribuées à un « possible syndrome régional douloureux complexe », mais ne se prononce pas à ce sujet. Dans son rapport du 17 juillet 2020, la Dre C.________ a également indiqué une « possible composante » de SDRC, mais il apparaît que cette médecin n’a pas eu connaissance des imageries médicales ni des rapports des spécialistes précédemment consultés par sa nouvelle patiente, de sorte qu’elle ne pouvait de toute manière pas étayer un diagnostic autrement que par les déclarations de la recourante. Dans le courant de l’été 2020, la recourante s’est rendue dans son pays d’origine, où elle a obtenu diverses imageries médicales. Or, même si l’on devait reconnaitre une valeur probante au rapport établi ensuite par la Dre L.________, il faudrait relever qu’il ne contient aucune mention d’un éventuel SDRC au bras droit, tandis qu’il est constaté notamment l’absence de troubles objectifs de la sensibilité. Ce rapport n’apporte ainsi pas d’élément médical dans le sens d’un tel diagnostic. Consulté en novembre 2020, le Prof. P.________, qui a pu avoir connaissance des examens radiologiques passés par la recourante dans son pays d’origine,</w:t>
      </w:r>
    </w:p>
    <w:p>
      <w:r>
        <w:t>- 27 - a vu peu de correspondance entre l’anamnèse, les plaintes et l’imagerie médicale, mais ne s’est pas prononcé sur un éventuel SDRC. Enfin, dans ses rapports d’avril et juillet 2021, le Dr T.________ a conclu à un « diagnostic probable » de SDRC. Outre le fait que, contrairement à ce que soutient la recourante, ce médecin n’a toujours pas formellement posé un diagnostic de SDRC, il convient de relever que le changement pour un diagnostic « probable », plutôt que « possible » précédemment, n’est pas étayé par des éléments médicaux nouveaux, mais repose uniquement sur l’absence de diagnostic différentiel « satisfaisant » et la présence de « signes cliniques objectifs ». Or, comme déjà dit, le Dr T.________ émettait des réserves sur l’existence d’un SDRC en avril 2020 en raison de signes cliniques discrets. Cependant, il a indiqué dans ses deux rapports de 2021 que le tableau clinique était « relativement similaire » à avril 2020. Plus précisément, ses constats objectifs en avril 2021 allaient plutôt dans le sens d’une amélioration, car s’il a noté une tuméfaction « un peu plus diffuse », de même que les signes de dyscoloration, en revanche il y avait eu une bonne récupération de la mobilité active des doigts même si elle n’était pas complète. Il a par ailleurs relevé dans ce même rapport que sa patiente peinait à admettre que son accident n’ait pas causé de lésion organique « plus grave » et qu’elle s’inscrivait difficilement dans la thérapie prescrite pour un SDRC, essentiellement de la physiothérapie. Cet aspect est encore plus relayé dans le rapport de juillet 2021, le médecin ayant dû expliquer à la recourante qu’il n’y avait pas d’indication à poursuivre les investigations médicales. Cela étant, ces deux rapports ne convainquent pas et semblent plutôt guidés par le souhait de répondre à la demande insistante de la recourante de se voir reconnaître une pathologie susceptible d’être mise en relation avec son accident. Ainsi, le diagnostic de SDRC ne peut être retenu sur cette seule base, de sorte qu’aucun élément d’ordre médical ne remet en question les conclusions de la D.________, qui a renoncé à poser un tel diagnostic en raison de critères insuffisants. La lecture des différents rapports précités montre par ailleurs que l’hypothèse du SDRC a été largement investiguée et qu’il n’y a pas lieu, comme l’a souligné le Dr T.________, de procéder à de plus amples investigations.</w:t>
      </w:r>
    </w:p>
    <w:p>
      <w:r>
        <w:t>- 28 - b) Au demeurant, même en admettant que la recourante ait effectivement souffert d’un SDRC à la main droite, dont les premiers signes seraient apparus mi-décembre 2019, il faudrait constater que le lien de causalité avec l’accident du 26 novembre 2019 n’est pas démontré. En effet, aucune lésion physique au bras droit n’a été relevée lors de cet accident ou dans les jours suivants. La recourante n’a en effet jamais mentionné, lors des investigations médicales qu’elle a passées par la suite, que son bras droit aurait heurté quelque chose ou qu’il aurait subi un quelconque traumatisme au moment de l’impact. Lorsqu’elle a consulté, le 12 décembre 2019, elle s’est uniquement plainte de douleurs à la nuque et de céphalées et seule cette problématique a été investiguée. Le rapport de consultation établi lors de cette consultation indique, à l’anamnèse, qu’il n’y a eu ni traumatisme crânien, ni perte de conscience initiale, la recourante ayant été « juste choquée », puis qu’elle avait ressenti le lendemain des céphalées, cervicalgies et sensation d’instabilité. Il en a été de même lorsque la recourante a consulté le Dr S.________ le 30 janvier 2020. Ce médecin a posé le diagnostic d’entorse cervicale et mentionné le status suivant : « Cervicalgie d2, Brachialgie et Troubles sensibilité main dr », mais n’a fait part d’aucune lésion ou traumatisme dans la région de la main. De même, aucun médecin consulté par la recourante n’a rapporté dans l’anamnèse que le bras droit de la recourante aurait subi une lésion ou été heurtée d’une quelconque manière au moment de la collision. L’intéressée ne l’a par ailleurs pas non plus allégué dans son recours. Dans son écriture du 10 septembre 2021 (p. 25), la recourante fait valoir que le SDRC à sa main droite serait en relation directe avec le traumatisme cervical. Cette assertion n’est toutefois fondée sur aucune base scientifique, les médecins qui ont évoqué un possible SDRC n’ayant même jamais émis de telle hypothèse. Comme l’a fait remarquer l’intimée, les jurisprudences admettant un lien entre un SDRC et un accident impliquent que la région douloureuse a directement subi un traumatise ou été touchée d’une quelconque manière au moment de l’accident. A cet égard, on précisera s’agissant de l’arrêt TF 8C_198/2020 du 28 septembre</w:t>
      </w:r>
    </w:p>
    <w:p>
      <w:r>
        <w:t>- 29 - 2020 cité par l’intimée dans son mémoire du 12 juillet 2021 (p. 30), qu’il était en réalité question d’un SDRC au bras droit à la suite d’une fracture de ce même membre ayant nécessité une opération en juillet 2015. Le Tribunal fédéral a retenu que le SDRC avait ensuite évolué favorablement et qu’il n’avait plus été fait mention de ce trouble ou d’indices allant dans ce sens dès décembre 2016, raison pour laquelle les douleurs résiduelles ressenties au bras droit postérieurement à cette date ne pouvaient plus être mise en relation avec le SDRC, respectivement avec la fracture. Par ailleurs, dans l’arrêt TF 8C_416/2019 du 15 juillet 2020 que la recourante met en parallèle à sa situation, le lien de causalité entre l’accident et le SDRC du poignet droit avait été reconnu, notamment, parce que le poignet droit avait été écrasé durant l’accident. Aucune notion de fracture, d’écrasement, de choc ou de lésion au niveau du poignet droit de la recourante ne ressort de la description qu’elle fait de l’accident. Enfin, contrairement à ce que la recourante semble croire, l’absence de lien de causalité mise en avant par l’intimée ne résulte pas d’un éventuel délai trop long entre la survenance de l’accident et l’apparition des douleurs, mais bien du fait que l’accident n’a pas touché directement la région douloureuse. Pour être complet, on relèvera encore que, s’agissant du délai entre l’accident et l’apparition des douleurs, la recourante a omis le fait qu’elle n’a signalé aucune douleur au bras droit lorsqu’elle a consulté le 12 décembre 2019, la première mention de telles douleurs n’étant apparue qu’à la consultation du Dr S.________ du 30 janvier 2020 ; cette question n’est toutefois pas décisive en l’occurrence.</w:t>
      </w:r>
    </w:p>
    <w:p>
      <w:r>
        <w:rPr>
          <w:b/>
        </w:rPr>
        <w:t>E. 9</w:t>
      </w:r>
    </w:p>
    <w:p>
      <w:r>
        <w:t>a) Concernant les douleurs cervicales ressenties par la recourante, l’intimée a reconnu un traumatisme cervical indirect de degré II en lien de causalité avec l’accident, mais dont l’effet a cessé après une année compte tenu d’un état antérieur dégénératif/maladif démontré à l’imagerie médicale et en l’absence de toute lésion structurelle imputable à l’accident. Ainsi, elle a constaté que le rétrécissement foraminal C5-C6 débutant à droite était d’origine maladive préexistante au traumatisme cervical et a nié la relation de causalité avec l’accident, mais a admis une simple aggravation passagère due à l’accident. La décision litigieuse reprend l’appréciation du Dr F.________. Ce médecin a opéré une synthèse</w:t>
      </w:r>
    </w:p>
    <w:p>
      <w:r>
        <w:t>- 30 - de l’ensemble du dossier médical de l’assurée, y compris les imageries obtenues par cette dernière en [...]. Son analyse est convaincante, dès lors qu’elle est fondée sur des éléments objectifs et qu’elle n’est pas contredite par les éléments figurant au dossier. Ainsi, le scanner effectué le 12 décembre 2019 a permis d’écarter toute lésion traumatique cérébrale, fracture du crâne, du massif facial ou de la colonne cervicale. En février 2020, l’examen neurologique, comprenant un examen électrophysiologique, n’a pas mis en évidence d’atteinte radiculaire C5 à T1 à droite, mais a révélé une possible irritation radiculaire de type préganglionnaire C6-C7. L’IRM cervicale effectué le 28 février 2020 a montré un rétrécissement foraminal droit débutant en C5- C6, non significatif, pouvant être responsable d’un syndrome irritatif sur la racine C6 à droite. Le Dr F.________ a estimé que ce rétrécissement foraminal était étranger à l’accident et a préconisé un assessment à la D.________. Parallèlement, la recourante a consulté successivement le Dr V.________, qui a relevé l’absence de conflit discoradiculaire sur l’IRM cervicale, puis le Dr H.________, qui a confirmé l’absence de « lésion explicative » pour les douleurs au bras et ajouté qu’il y avait seulement « de très banals troubles dégénératif ». Les médecins de la D.________ ont eu connaissance des imageries et des rapports des autres spécialistes et ont conclu, après avoir procédé eux-mêmes à divers examens, au diagnostic de traumatisme cervical indirect de degré II. A cet égard, ils ont exposé ce qui suit : « L’investigation neurologique spécialisée retrouve des éléments compatibles avec un traumatisme cervical indirect le 26 novembre 2019. Les vertiges ont disparu ainsi que les troubles de la concentration. Le neurologue retrouve également des douleurs paracervicales et scapulaires d’origine musculo-tendineuse. Du reste, l’examen neurologique est strictement normal devant l’absence de signe d’une atteinte périphérique, radiculaire, plexuelle ou tronculaire du membre supérieur droit. La présence d’une petite sténose foraminale C5-C6 droite découverte à l’IRM cervicale demeure asymptomatique. » Dans son rapport du 14 juillet 2020, le Dr X.________ fait la même lecture de l’IRM du 28 février 2020, en notant qu’elle n’a révélé « que de discrets troubles dégénératifs débutants au niveau C5-C6, sans</w:t>
      </w:r>
    </w:p>
    <w:p>
      <w:r>
        <w:t>- 31 - compression radiculaire nette ». Une IRM de la colonne cervico-dorsale effectuée le 24 juillet 2020 a ensuite confirmé l’absence de fracture, de tassement vertébral ou de rétrécissement canalaire, mais montré l’existence d’une arthrose à caractère inflammatoire ainsi que plusieurs petites protrusions discales sans hernie discale ou conflit radiculaire. S’agissant ensuite de l’IRM thoracique-lombaire passée par la recourante en [...], le rapport mentionne plusieurs discopathies, une petite hernie et un « débord discal circonférentiel minimum L5-S1 avec fissure annulaire fibreuse, tangente aux racines extraforaminales L5 ». La recourante veut déduire de ce rapport d’IRM la preuve d’une lésion causée par son accident. Une telle conclusion ne ressort cependant pas dudit rapport d’IRM, ni même du rapport de la Dre L.________. Ce dernier rapport, dont la valeur probante est de toute manière faible (cf. consid. 7 ci- dessus), mentionne une névralgie cervico-brachiale et une discopathie cervicale étagée C5-C7, sans autre commentaire quant à leur origine ou sur leur impact sur l’état de santé de la recourante, étant relevé que les observations cliniques d’ordre neurologique qui suivent sont toutes négatives (absence de signe neurologique focal, absence de signes d’irritation radiculaire). A son retour en Suisse, l’assurée a soumis ces IRM au Dr P.________, lequel a constaté une correspondance « modeste » entre l’anamnèse, les plaintes et l’imagerie, l’existence de lésions « possiblement » post-traumatiques au niveau du genou et de la cheville droite et des lésions « d’allure dégénératives relativement banales ». En définitive, la recourante remet en cause la valeur probante des rapports des Drs X.________, P.________ et F.________, soit les médecins qui évoquent clairement des atteintes dégénératives, mais n’apporte aucun élément d’ordre médical susceptible de remettre en cause leurs conclusions. Il n’en demeure pas moins que les avis du Dr F.________, lequel a également eu connaissance des imageries de [...] et a confirmé sur cette base l’existence « d’un état antérieur dégénératif/maladif du rachis cervical, thoracique (dorsal) et lombaire », sont étayés et peuvent donc être suivis. Par ailleurs, la jurisprudence, qui se fonde sur l’expérience médicale, retient qu’une aggravation post-traumatique (sans</w:t>
      </w:r>
    </w:p>
    <w:p>
      <w:r>
        <w:t>- 32 - lésion structurelle associée) d’un état dégénératif antérieur de la colonne vertébrale auparavant asymptomatique cesse de produire ses effets en règle générale après six à neuf mois, voire au maximum après une année (TF 8C_746/2018 du 1er avril 2019 consid. 3.2 ; 8C_625/2017 du 5 avril 2018 consid. 3.2). Il n’y a ainsi pas de motif de s’écarter de l’avis du Dr F.________, qui s’inscrit dans le cadre de la jurisprudence en la matière. b) La recourante se prévaut cependant de la jurisprudence relative aux traumatismes de type « coup du lapin », faisant valoir que les douleurs cervicales et brachiales dont elle continue à souffrir ne peuvent s’expliquer que par de microlésions causées par l’accident. Il faut d’emblée constater qu’aucun rapport médical au dossier n’établit de causalité entre l’accident et l’état de santé actuel de la recourante, ni ne remet sérieusement en cause l’appréciation du médecin-conseil de l’intimée. Cela étant, il est constant que l’intéressée s’est plainte de douleurs à la nuque et aux épaules dans les 72 heures qui ont suivi l’accident, ce dont elle a fait part lors de sa première consultation, le 12 décembre 2019. Cependant, il y a lieu de relever que l’accident du 26 novembre 2019 ne peut être qualifié tout au plus que de gravité moyenne, à la limite d’un accident de peu de gravité. En effet, le constat établi après l’accident indique que la collision a eu lieu par l’arrière, à l’entrée d’un rond-point. Lors de la consultation du 12 décembre 2019, le médecin a noté que la patiente était ceinturée, que sa voiture a été projetée vers le centre du rond-point et qu’il n’y a eu ni « TC » (traumatisme crânien), ni « pdc initiale » (perte de conscience initiale), l’intéressée étant « juste choquée ». Ce n’est qu’à la consultation du Dr V.________, le 19 mars 2020, que la recourante a évoqué pour la première fois une perte de conscience de quelques secondes au moment de l’impact, puis a repris cette information dans son opposition à la décision de l’intimée et ensuite dans son recours. Elle n’a toutefois pas donné cette information au Dr H.________, consulté le 23 avril 2020, ni aux médecins qui l’ont examinée à la D.________ en mai 2020, ceux-ci ayant relevé que la recourante s’était « sentie plutôt "sonnée" ou choquée par l’accident mais il n’y a pas eu de</w:t>
      </w:r>
    </w:p>
    <w:p>
      <w:r>
        <w:t>- 33 - perte de connaissance ni d’amnésie circonstanc[ielle] ». Il faut dès lors retenir que le choc n’a pas causé de perte de conscience et que les déclarations contraires de la recourante sont le fruit de réflexions ultérieures. Dans ses écritures, la recourante a encore insisté sur le fait que le choc avait été violent du point de vue cinétique, du fait qu’elle était arrêtée et que l’autre véhicule roulait à 60 km/h. Cet élément n’est toutefois confirmé par aucune pièce au dossier. Au contraire, les photographies des dommages à son véhicule figurant dans le rapport d’expertise de l’assureur ne montrent pas de déformation importante de la carrosserie, ce qui plaide en faveur d’un choc modéré. L’accident n’a pas justifié l’intervention de la police et la recourante est rentrée chez elle avec son véhicule. De manière générale, le Tribunal fédéral considère qu’une collision par l’arrière alors que le véhicule est à l’arrêt devant un feu de signalisation ou un passage pour piéton constitue un accident de gravité moyenne à la limite des cas de peu de gravité (TF 8C_220/2016 du</w:t>
      </w:r>
    </w:p>
    <w:p>
      <w:r>
        <w:rPr>
          <w:b/>
        </w:rPr>
        <w:t>E. 10</w:t>
      </w:r>
    </w:p>
    <w:p>
      <w:r>
        <w:t>A titre de mesure d’instruction, la recourante a requis la mise en œuvre d’une expertise médicale judiciaire afin de déterminer si elle présente un SDRC à la main droite. A cet égard, et comme démontré plus avant, les éléments au dossier sont suffisants pour permettre à la Cour des assurances sociales de renoncer à requérir un complément d’instruction sous la forme d’une telle expertise. Par conséquent, il n’y a pas lieu de donner suite à la requête de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11</w:t>
      </w:r>
    </w:p>
    <w:p>
      <w:r>
        <w:t>a) En définitive, le recours, mal fondé, doit être rejeté et la décision litigieuse confirmée. b) Il n’y a pas lieu de percevoir de frais judiciaires (art. 61 let. fbis LPGA), ni d’allouer de dépens à la partie recourante, qui n’obtient pas gain de cause (art. 61 let. g LPGA). c) Lorsqu’une partie a été mise au bénéfice de l’assistance judiciaire, une équitable indemnité au conseil juridique désigné d’office pour la procédure est supportée par le canton (art. 122 al. 1 let. a CPC, applicable par renvoi de l’art. 18 al. 5 LPA-VD). Le défenseur d’office a droit au remboursement forfaitaire de ses débours et à un défraiement équitable, qui est fixé en considération de l’importance de la cause, de ses</w:t>
      </w:r>
    </w:p>
    <w:p>
      <w:r>
        <w:t>- 36 -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Par décision de la Juge instructrice du 7 juin 2021, la recourante a été mise au bénéfice de l’assistance judiciaire et a obtenu à ce titre la commission d’un avocat d’office en la personne de Me Julien Guignard. Ce dernier a produit sa liste des opérations le 8 février 2022, laquelle fait état d’un total de 39.61 heures de travail fourni. Or, certaines prestations résultant de la liste des opérations paraissent excessives. Tel est le cas de la durée de l’entretien avec la cliente, l’ouverture du dossier et étude des pièces, comptabilisées à 3 heures 30, la rédaction du recours comptée à hauteur de 15 heures et la rédaction de la réplique avec recherches comptées à raison de 10 heures, écritures auxquelles s’ajoutent des déterminations rédigées en 4 heures, ainsi que des mails et téléphones à la cliente entre le 9 et le 10 septembre 2021 totalisant près d’une heure. Par ailleurs, d’une manière générale, l’activité déployée dépasse ce qu’admet la pratique de la Cour dans l’estimation du temps objectivement requis pour le traitement de cas de ce genre eu égard à l’importance et à la complexité du litige. En définitive, le nombre d’heures nécessaires au mandat doit être ramené à 22 heures, auxquelles doit être appliqué un tarif horaire de 180 francs. S’y ajoute le forfait de 5 % du défraiement hors taxe pour les débours (art. 3bis al. 1 RAJ). Par conséquent, il convient d’arrêter l’indemnité à 4'478 fr. 15,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w:t>
      </w:r>
    </w:p>
    <w:p>
      <w:r>
        <w:t>- 37 -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