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ZA21.019970 vom 30. November 2022</w:t>
      </w:r>
    </w:p>
    <w:p>
      <w:r>
        <w:t>VD Tribunal cantonal, 2022-11-30, FR</w:t>
      </w:r>
    </w:p>
    <w:p>
      <w:r>
        <w:rPr>
          <w:b/>
        </w:rPr>
        <w:t xml:space="preserve">Quelle: </w:t>
      </w:r>
      <w:r>
        <w:t>https://mcp.opencaselaw.ch/entscheid/vd_gerichte_ZA21.019970</w:t>
      </w:r>
    </w:p>
    <w:p>
      <w:r>
        <w:t>FR: VD_GERICHTE ZA21.019970 du 30 novembre 2022</w:t>
      </w:r>
    </w:p>
    <w:p>
      <w:r>
        <w:t>IT: VD_GERICHTE ZA21.019970 del 30 novembre 2022</w:t>
      </w:r>
    </w:p>
    <w:p>
      <w:pPr>
        <w:pStyle w:val="Heading2"/>
      </w:pPr>
      <w:r>
        <w:t>Erwägungen</w:t>
      </w:r>
    </w:p>
    <w:p>
      <w:r>
        <w:rPr>
          <w:b/>
        </w:rPr>
        <w:t>E. 1</w:t>
      </w:r>
    </w:p>
    <w:p>
      <w:r>
        <w:t>a) La LPGA (loi fédérale du 6 octobre 2000 sur la partie générale du droit des assurances sociales ; RS 830.1) est, sauf dérogation</w:t>
      </w:r>
    </w:p>
    <w:p>
      <w:r>
        <w:t>- 13 -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et de ses enfants à des prestations d’assurance de la part de l’intimée en raison du décès de B.D.________, singulièrement sur le point de savoir si, au moment où ce dernier a agi, il était totalement incapable de se comporter raisonnablement.</w:t>
      </w:r>
    </w:p>
    <w:p>
      <w:r>
        <w:rPr>
          <w:b/>
        </w:rPr>
        <w:t>E. 3</w:t>
      </w:r>
    </w:p>
    <w:p>
      <w:r>
        <w:t>a) Selon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Lorsque l’assuré décède des suites de l’accident, le conjoint survivant et les enfants ont droit à des rentes de survivants (art. 28 LAA).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w:t>
      </w:r>
    </w:p>
    <w:p>
      <w:r>
        <w:t>- 14 - accident couvert par l’assurance (art. 48 OLAA [ordonnance du 20 décembre 1982 sur l’assurance-accidents ; RS 832.202]). b) Au vu de ce qui précède, le suicide comme tel n’est un accident assuré que s’il a été commis dans un état d’incapacité de discernement. Il faut, pour entraîner la responsabilité de l’assureur- accidents, qu’au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 129 V 95 ; 113 V 61 consid. 2a). L’incapacité de discernement n’est pas appréciée dans l’abstrait, mais concrètement, par rapport à un acte déterminé, en fonction de sa nature et de son importance, les facultés requises devant exister au moment de l’acte (principe de la relativité du discernement ; voir par exemple ATF 134 II 235 consid. 4.3.2).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(TF 8C_783/2018 du 4 avril 2019 consid. 4 et les références). c) L'existence d'une maladie psychique ou d'un grave trouble de la conscience doit être établie conformément à la règle du degré de vraisemblance prépondérante (ATF 129 V 177 consid. 3.1 ; 119 V 335 consid. 1 ; 118 V 286 consid. 1b). Il doit s'agir de symptômes psychopathologiques comme la folie, les hallucinations, la stupeur profonde, le raptus, etc. Le motif qui a conduit au suicide ou à la tentative doit être en relation avec les symptômes psychopathologiques (TF 8C_916/2011 du 8 janvier 2013 consid. 2.2). En d’autres termes, savoir si le suicide ou la tentative de suicide a été commis dans un état d'incapacité de discernement doit être résolu selon la règle du degré de la vraisemblance prépondérante généralement appliquée en matière d'assurances sociales. Le juge</w:t>
      </w:r>
    </w:p>
    <w:p>
      <w:r>
        <w:t>- 15 - retiendra alors, parmi plusieurs présentations des faits, celle qui lui apparaît comme la plus vraisemblable. Il n'existe donc pas un principe selon lequel l'administration ou le juge devrait statuer, dans le doute, en faveur de l'assuré ; le défaut de preuve va au détriment de la partie qui entendait tirer un droit du fait non prouvé (TF 8C_195/2015 du 10 février 2016 consid. 2.3.3 et les références). Cette règle de preuve ne s'applique toutefois que lorsqu'il est impossible, en se fondant sur l'appréciation des preuves conformément au principe inquisitoire, d'établir un état de fait qui apparaisse au moins vraisemblablement correspondre à la réalité (ATF 139 V 176 consid. 5.2 ; 117 V 264 consid. 3b et la référence).</w:t>
      </w:r>
    </w:p>
    <w:p>
      <w:r>
        <w:rPr>
          <w:b/>
        </w:rPr>
        <w:t>E. 4</w:t>
      </w:r>
    </w:p>
    <w:p>
      <w:r>
        <w:t>En l’occurrence, il est admis par les deux parties que feu B.D.________ s’est suicidé. Il s’agit toutefois de déterminer si, au moment des faits, il était totalement incapable de se comporter raisonnablement. L’intimée estime que tel n’est pas le cas, en se fondant notamment sur les avis de son médecin-conseil, le Dr V.________. Dans sa décision sur opposition, elle indique que le degré d’alcoolémie de l’assuré au moment des faits se situait vraisemblablement aux alentours de 2,5 ‰ et, se référant au seuil fixé par la jurisprudence en matière pénale selon lequel une irresponsabilité est présumée en présence d’un taux d’alcoolémie supérieur à 3 ‰ (ATF 122 IV 49 consid. 1b), elle retient que la faculté de discernement de l’assuré était de toute évidence diminuée sans que l’on ne puisse exclure toute capacité de discernement. Dans sa réponse au recours, elle retient finalement que, quel que soit le taux d’alcoolémie, l’acte accompli nécessitait une multitude d’actes préparatoires « parfaitement incompatibles avec une perte complète de discernement ». Il faut constater qu’il s’agit là de considérations faites par l’intimée selon sa propre appréciation du dossier, en dehors de tout examen spécialisé des questions déterminantes. Non seulement, il sied de rappeler que seul est connu le taux d’alcoolémie au moment de l’autopsie et qu’aucun expert ne s’est prononcé sur le taux d’alcoolémie existant au moment du décès, dont les documents au dossier ne mentionnent</w:t>
      </w:r>
    </w:p>
    <w:p>
      <w:r>
        <w:t>- 16 - d’ailleurs pas l’heure présumée. Ensuite, si l’on se réfère à la jurisprudence rendue en matière pénale, un taux d’alcoolémie supérieur à 2 ‰ entraîne déjà une diminution de responsabilité, comme le relève la recourante, et il a été reconnu, dans certaines configurations, qu’un taux d’alcoolémie de l’ordre de 2 ‰ pouvait concourir à entraîner une incapacité de discernement (TF U 37/03 du 28 avril 2003 consid. 3.2), voire était susceptible d’entraîner théoriquement un état d’alcoolisation sévère avec perte de la capacité de jugement et de discernement (TF 8C_256/2010 du 22 juin 2010 consid. 5.1). Finalement, en tant que l’intimée laisse ouverte la question du taux d’alcoolémie pour retenir que l’acte accompli nécessitait une multitude d’actes préparatoires « parfaitement incompatibles avec une perte complète de discernement », elle s’écarte des affirmations plus nuancées de son médecin-conseil. Dans ses appréciations des 16 juin et 10 septembre 2020, celui-ci admet en effet que l’assuré a pu présenter une ivresse pathologique au moment des faits avec une possible altération de la conscience, une mauvaise appréciation de la situation et un comportement s’écartant de la logique. Il relève cependant que l’acte n’a pas été soudain, mais a nécessité une certaine préparation, la nécessité d’avoir une arme et d’effectuer les trajets, de sorte qu’il n’était pas établi, au-delà de la simple hypothèse, que le champ de conscience de l’assuré était totalement obscurci au point de l’empêcher de raisonner et de se déterminer librement au moment de l’acte, une éventuelle perte complète de la capacité de discernement n’apparaissant que possible. Certes, les explications du Dr V.________ sont motivées et n’apparaissent pas dénuées de toute valeur probante. Cependant, il faut constater que le Dr V.________ est spécialisé en médecine interne générale et qu’il ne dispose dès lors pas de connaissances spécifiques en psychiatrie, lesquelles apparaissent indispensables pour se prononcer en toute connaissance de cause en l’occurrence. Au vu de l’ensemble des circonstances, notamment du contexte d’alcoolisation aiguë, de l’absence d’antécédents psychiatriques, de la situation personnelle, familiale et professionnelle de l’assuré et du fait qu’une perte complète de la capacité de discernement n’est pas exclue par le Dr V.________, l’intimée ne pouvait</w:t>
      </w:r>
    </w:p>
    <w:p>
      <w:r>
        <w:t>- 17 - se dispenser de soumettre le cas à l’avis d’un psychiatre. Dans ses écritures, I.________ indique ne pas voir ce qu’une expertise au sujet de la capacité de discernement de l’assuré pourrait apporter comme renseignements complémentaires. Il s’agit en l’espèce de recourir à l’avis d’un spécialiste, qui dispose des connaissances idoines pour se prononcer sur l’existence ou non d’une capacité de discernement dans le cas particulier au moment du passage à l’acte, la tâche de l'expert étant précisément de mettre ses connaissances spéciales à la disposition de la justice afin de l'éclairer sur les aspects médicaux d'un état de fait donné (ATF 125 V 351 consid. 3b/aa ; TF 9C_514/2012 du 5 octobre 2012 consid. 4). Contrairement à ce qu’I.________ soutient dans ses déterminations du 8 décembre 2021, le complément d’instruction n’a pas pour but de déterminer si l’on est en présence ou non d’un suicide, cela étant admis en l’occurrence, mais doit porter sur la question de la capacité de discernement au moment du passage à l’acte. Compte tenu des questions à éclaircir, il paraît opportun de s’adresser à un spécialiste en psychiatrie disposant d’une qualification en sciences forensiques (voir par exemple la liste sur le site www.medregom.admin.ch &gt; MedReg &gt; Autres qualifications &gt; Psychiatrie et psychothérapie forensique). Il appartiendra à l’expert de requérir, s’il l’estime utile, des informations complémentaires telles que le rapport d’autopsie complet.</w:t>
      </w:r>
    </w:p>
    <w:p>
      <w:r>
        <w:rPr>
          <w:b/>
        </w:rPr>
        <w:t>E. 5</w:t>
      </w:r>
    </w:p>
    <w:p>
      <w:r>
        <w:t>a) Le recours doit par conséquent être admis, l’intimée étant invitée à mettre en œuvre une expertise psychiatrique, de préférence auprès d’un psychiatre spécialisé en psychiatrie forensique, puis de statuer à nouveau. b) Au vu de l’issue du litige, il n’apparaît pas utile de procéder à l’audition des témoins proposés par la recourante (sur l’appréciation anticipée des preuves, voir ATF 145 I 167 consid. 4.1 ; 140 I 285 consid. 6.3.1). c) Il n’y a pas lieu de percevoir de frais judiciaires (art. 61 let. f bis LPGA).</w:t>
      </w:r>
    </w:p>
    <w:p>
      <w:r>
        <w:t>- 18 - d)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