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ZA20.034856 vom 8. Juli 2021</w:t>
      </w:r>
    </w:p>
    <w:p>
      <w:r>
        <w:t>VD Tribunal cantonal, 2021-07-08, FR</w:t>
      </w:r>
    </w:p>
    <w:p>
      <w:r>
        <w:rPr>
          <w:b/>
        </w:rPr>
        <w:t xml:space="preserve">Quelle: </w:t>
      </w:r>
      <w:r>
        <w:t>https://mcp.opencaselaw.ch/entscheid/vd_gerichte_ZA20.034856</w:t>
      </w:r>
    </w:p>
    <w:p>
      <w:r>
        <w:t>FR: VD_GERICHTE ZA20.034856 du 8 juillet 2021</w:t>
      </w:r>
    </w:p>
    <w:p>
      <w:r>
        <w:t>IT: VD_GERICHTE ZA20.034856 del 8 luglio 2021</w:t>
      </w:r>
    </w:p>
    <w:p>
      <w:pPr>
        <w:pStyle w:val="Heading2"/>
      </w:pPr>
      <w:r>
        <w:t>Erwägungen</w:t>
      </w:r>
    </w:p>
    <w:p>
      <w:r>
        <w:rPr>
          <w:b/>
        </w:rPr>
        <w:t>E. 8</w:t>
      </w:r>
    </w:p>
    <w:p>
      <w:r>
        <w:t>septembre 2020 devant la Cour des assurances sociales du Tribunal cantonal à l’encontre de la décision sur opposition précitée, concluant principalement à sa réforme et à l’octroi des prestations légales en lien avec l’accident du 5 août 2018 au-delà du 8 janvier 2019, subsidiairement à l’annulation de cette décision et au renvoi de la cause à l’intimée pour nouvelle décision dans le sens des considérants. Sur le plan de l’instruction, il a requis la mise en œuvre d’une expertise médicale judiciaire, l’audition des Drs D.________ et Q.________, ainsi que la production par l’intimée d’une liste anonymisée de toutes les expertises confiées au Dr Q.________ depuis 2010. Dans ses motifs, le recourant a contesté l’impartialité de l’expert Q.________ en tant qu’associé du Dr D.________ et estimé que l’on pouvait d’autant plus conclure à une « expertise de complaisance » que l’expert Q.________ était spécialisé dans les affections de la main et du poignet mais pas dans les troubles de</w:t>
      </w:r>
    </w:p>
    <w:p>
      <w:r>
        <w:t>- 7 - l’épaule. Par ailleurs, l’intéressé a estimé que l’on ne pouvait lui reprocher d’avoir tardé à se prévaloir d’un motif de récusation dans la mesure où son conseil actuel n’avait pris connaissance du dossier qu’en juillet 2020. Pour le reste, le recourant a critiqué la valeur probante de l’expertise du Dr Q.________ et lui a opposé l’appréciation du Dr V.________ (« l’un des grands spécialistes de l’épaule »), l’avis du Dr N.________ et l’expertise du B.________. A l’appui de ses dires, le recourant a notamment produit divers extraits tirés d’internet relatifs aux cabinets des Drs D.________, Q.________ et V.________. Appelée à se prononcer sur le recours, l’intimée en a proposé le rejet par réponse du 5 novembre 2020 et requis, pour le cas où l’audition du Dr V.________ serait ordonnée, celle des Drs D.________ et Q.________. M.________ a en particulier relevé que le recourant était forclos d’invoquer des motifs de récusation dans la mesure où, bien qu’au courant des rôles respectifs des Drs Q.________ et D.________ dans son dossier et n’ayant pu ignorer que ces derniers partageaient les mêmes locaux (« le nom du Dr D.________ figur[ant] également sur la porte d’entrée »), il n’avait formulé des objections qu’une fois connues les conclusions de l’expertise et parce que celles-ci ne lui convenaient pas. Les affirmations de l’assuré quant à l’impact de la relation entre ces deux médecins étaient en outre gratuites et dépourvues de fondement, ainsi qu’il résultait d’une prise de position du Dr D.________ du 2 novembre 2020. A cela s’ajoutait que le choix de confier des expertises au Dr Q.________ ne contrevenait pas à la jurisprudence topique, étant souligné que l’arrêt du 13 mars 2013 communiqué au recourant avait été confirmé par le Tribunal fédéral. Cela étant, l’intimée a déclaré s’opposer à la production d’une liste anonymisée des expertises confiées au Dr Q.________ depuis 2010. Pour le reste, M.________ a considéré que les appréciations émises par l’expert Q.________ et le Dr D.________, pleinement probantes, l’emportaient sur l’avis du Dr V.________. S’agissant de la prise de position susdite du 2 novembre 2020, dépourvue de signature, on en extrait ce qui suit :</w:t>
      </w:r>
    </w:p>
    <w:p>
      <w:r>
        <w:t>- 8 - "Je précise que je ne suis pas l'associé du Dr Q.________. Notre cabinet n'est pas une S[à]rl ou SA. Nous ne faisons que partager les locaux et les frais qui en découlent, mais notre travail et nos revenus sont indépendants. Ceci signifie que je ne suis pas impliqué dans les choix et décisions de mon confrère, que cela soit concernant [s]es patients ou [s]es expertises. De plus, je rappelle que le monde de l'orthopédie [...] est petit. Cela signifie que j'ai travaillé en hôpital avec les trois[-]quarts des chirurgiens installés. A titre d'exemple, le Dr V.________ a été mon assistant. […]" Aux termes de sa réplique du 23 décembre 2020, T.________ a confirmé ses conclusions et requis l’audition en tant que témoin du Dr V.________. Le recourant a en particulier argué qu’il n’avait pas à se douter du lien économique entre les Drs D.________ et Q.________ – associés au sens technique du terme – et qu’il n’avait notamment pas à se livrer à des recherches approfondies sur la personne de l’expert proposé par l’intimée ; aussi la requête tendant à la récusation de l’expert Q.________ avait-elle été déposée en temps utile. L’assuré a par ailleurs fait valoir que le « mémo » du 2 novembre 2020 n’était pas signé et qu’il n’avait pas eu la faculté de poser des questions complémentaires au témoin, si bien que ce document n’était pas recevable. Il a par ailleurs contesté le contenu de ce « mémo ». Dupliquant le 14 janvier 2021, l’intimé a maintenu sa position et s’est notamment référée à une note manuscrite du Dr D.________ du 11 janvier 2021. Aux termes de ce document, ce médecin exposait en particulier être l’auteur du courrier du 2 novembre 2020. Par acte du 26 janvier 2021, le recourant a persisté dans son argumentation, contestant en particulier le dépôt en procédure judiciaire des témoignages écrits du Dr D.________ des 2 novembre 2020 et 11 janvier 2021 en tant que ce procédé le privait – tout comme le Tribunal – de la faculté de poser toutes questions utiles aux médecins concernés quant à leurs relations professionnelles.</w:t>
      </w:r>
    </w:p>
    <w:p>
      <w:r>
        <w:t>- 9 -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 compte tenu des féries estivales (art. 38 al. 4 let. b et 60 al. 2 LPGA) –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des prestations de l’intimée au-delà du 8 janvier 2019, à raison de l’accident subi le 5 août 2018. 3. A titre préalable, le recourant conteste la recevabilité des écrits du Dr D.________ des 2 novembre 2020 et 11 janvier 2021, versés par M.________ dans le cadre de la présente procédure judiciaire. L’intéressé fait plus particulièrement valoir qu’il s’agit de témoignages écrits dont la production céans le prive – tout comme le Tribunal – de la faculté de poser des questions complémentaires conformément aux art. 169 ss CPC (code de procédure civile du 19 décembre 2008 ; RS 101) (cf. réplique du 23 décembre 2020 p. 3 et déterminations du 26 janvier 2021). On relèvera toutefois, d’une part, que même en procédure civile, les dépositions écrites de témoins préparées en vue d’un procès sont généralement admises en tant que titres (art. 177 ss CPC) et que le</w:t>
      </w:r>
    </w:p>
    <w:p>
      <w:r>
        <w:t>- 10 - tribunal peut en outre, à la place de l'audition de témoins, requérir des renseignements écrits de personnes dont la comparution à titre de témoin ne semble pas nécessaire (art. 190 al. 2 CPC) (François Vouilloz, Les renseignements écrits – Les dépositions écrites, in Julsetter du 15 août 2016, p. 7 ss). Le principe de l’audition de témoins selon les art. 169 ss CPC n’est donc pas absolu. D’autre part et surtout, il y a lieu de rappeler que ces dispositions de procédure civiles sont applicables par analogie en procédure administrative, en vertu de l’art. 32 LPA-VD. Or, dans un tel cas de renvoi analogique, le tribunal concerné n'est pas tenu strictement par les dispositions de la procédure civile mais dispose au contraire d'une certaine marge de manœuvre lorsqu'il les applique (TF 2C_762/2009 du 11 février 2010 consid. 5.2 et les références citées). Il lui faut, notamment, prendre en considération les spécificités de la procédure administrative, en principe écrite (art. 27 al. 1 LPA-VD), et plus spécifiquement du contentieux en matière d’assurances sociales, soumis à la maxime inquisitoire et régi par le principe de la libre appréciation des preuves (art. 61 let. c LPGA) en ce sens que la procédure n'obéit pas à des règles de preuve légales prescrivant à quelles conditions l'autorité devrait admettre que la preuve a abouti et quelle valeur probante elle devrait reconnaître aux différents moyens de preuve les uns par rapport aux autres (TF 5A.12/2006 du 23 août 2006 consid. 2.3). Cela étant, on ne saurait suivre le recourant lorsqu’il se contente d’invoquer abstraitement des règles générales de procédure civile sans égard à la présente situation, soit celle d’un recours de droit administratif en matière d’assurances sociales. Ce faisant, l’intéressé ne fait valoir aucun obstacle dirimant à la recevabilité des déclarations écrites du Dr D.________. Force est en particulier de constater que ces documents – qu’ils soient considérés comme des dépositions écrites ou des allégués de partie – ont dûment été portés à la connaissance du recourant et que celui-ci a eu tout le loisir de se positionner à leur égard, que ce soit sous l’angle des relations entre les Drs D.________ et Q.________ ou de l’aspect strictement médical (cf. réplique du 23 décembre 2020 et déterminations du 26 janvier 2021). Tout au plus relèvera-t-on encore que, quand bien même l’avis du 2 novembre 2020 n’est pas signé (cf. réplique du 23</w:t>
      </w:r>
    </w:p>
    <w:p>
      <w:r>
        <w:t>- 11 - décembre 2020 p. 3), le Dr D.________ a précisé le 11 janvier 2021 qu’il en était bien l’auteur, ce dont le Tribunal ne voit aucune raison de douter. Il découle de ce qui précède que les écrits du Dr D.________ des 2 novembre 2020 et 11 janvier 2021 doivent donc être considérés comme recevables. 4. a) Aux termes de l’art. 6 al. 1 LAA, si la loi n’en dispose pas autrement, les prestations d’assurance sont allouées en cas d’accident professionnel, d’accident non professionnel et de maladie professionnelle. 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w:t>
      </w:r>
    </w:p>
    <w:p>
      <w:r>
        <w:t>- 12 - prendre à sa charge le traitement de l’état maladif préexistant, dans la mesure où il s’est manifesté à l’occasion de l’accident ou a été aggravé par ce dernier (TF 8C_595/2017 du 16 mai 2018 consid. 3.2 et les références citées). b) Aux termes de l’art. 6 al. 2 let. a et f LAA, l’assurance- accidents alloue ses prestations en cas de fractures et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c)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w:t>
      </w:r>
    </w:p>
    <w:p>
      <w:r>
        <w:t>- 13 - 125 V 351 consid. 3a et les références ; TF 9C_453/2017 &amp; 9C_454/2017 du 6 mars 2018 consid. 4.2). 5. Pour statuer sur le droit aux prestations du recourant des suites de la chute à vélo survenue le 5 août 2018, l’intimée s’est fondée sur le rapport d’expertise rendu le 12 novembre 2019 par le Dr Q.________ et son complément du 10 mars 2020. Le recourant, quant à lui, conteste la valeur probante de cette expertise en mettant notamment en cause l’impartialité de l’expert Q.________, dans la mesure où ce dernier et le Dr D.________ œuvrent au sein d’un cabinet de groupe. a) L’art. 44 LPGA prévoit que si l'assureur doit recourir aux services d'un expert indépendant pour élucider les faits, il donne connaissance du nom de celui-ci aux parties, lesquelles peuvent récuser l'expert pour des raisons pertinentes et présenter des contre-propositions. La communication du nom de l'expert doit permettre à l'assuré de reconnaître s'il s'agit d'une personne à l'encontre de laquelle il pourrait disposer d'un motif de récusation. Lorsque l'intéressé soulève des objections quant à la personne de l'expert, l’assureur doit se prononcer à leur sujet avant le commencement de l'expertise (ATF 146 V 9 consid. 4.2.1 et les références citées). Si un motif de récusation n’est découvert qu’au moment de la réalisation de l’expertise ou après celle-ci, le motif de récusation doit être invoqué dès que possible – soit, en principe, dès que le plaideur a connaissance du motif, faute de quoi il est réputé avoir tacitement renoncé à s’en prévaloir. Il est en effet contraire au principe de la bonne foi d’attendre l’issue d’une procédure pour ensuite, à l’occasion d’un recours, tirer argument du motif de récusation qui était connu auparavant (Jacques Olivier Piguet, in Dupont/Moser-Szeless [édit.], Commentaire romand, Loi sur la partie générale des assurances sociales, Bâle 2018, n° 47 ad art. 44 LPGA). Une violation des règles relatives à la récusation peut néanmoins être constatée d’office, notamment dans le contexte de l’appréciation de la valeur probante d’un rapport d’expertise. Mais sauf cas grave, le juge ne devrait pas être tenu de compléter</w:t>
      </w:r>
    </w:p>
    <w:p>
      <w:r>
        <w:t>- 14 - l’instruction pour vérifier le bien-fondé d’un tel grief lorsqu’il est soulevé tardivement (Jean Métral, in Dupont/Moser-Szeless, op. cit., n° 33 ad art. 56 LPGA). En l’occurrence, il y a lieu d’admettre que le motif de récusation n’a pas été invoqué tardivement. A cet égard, force est de souligner que le recourant n’avait aucune obligation générale – légale ou jurisprudentielle – d’effectuer des recherches quant à la personne de l’expert, singulièrement quant aux liens entretenus par ce dernier avec d’autres praticiens et avec le Dr D.________ plus spécifiquement. On ne saurait, en outre, reprocher à l’assuré de ne pas avoir immédiatement réagi lorsqu’il s’est rendu dans les locaux partagés par les Drs Q.________ et D.________ le jour de l’expertise, le 11 septembre 2019. En l’état du dossier, rien ne tend en effet à démontrer que la configuration des locaux permettait d’identifier clairement ses occupants et de reconnaître parmi eux le médecin-conseil de l’intimée. Ce constat demeure inchangé quand bien même le nom des Drs D.________ et Q.________ figurerait à l’entrée du cabinet. A ce propos, il faut relever que le recourant n’a jamais été examiné personnellement par le Dr D.________ et qu’il a tout au plus eu connaissance du nom de celui-ci à la lecture des certaines correspondances de M.________ (notamment un courrier du 17 décembre 2018 et la décision du 6 février 2019, adressés à l’assuré alors non représenté) largement antérieures à l’expertise. De telles circonstances n’étaient à l’évidence pas propres à lui faire garder en mémoire l’identité exacte du médecin-conseil de l’intimée, ni à faire le rapprochement avec le Dr D.________ le jour de l’expertise. Ce rapprochement n’a, en définitive, été fait que fortuitement, à la faveur d’un changement de mandataire dans les suites de la décision sur opposition du 14 juillet 2020, après quoi le motif de récusation en découlant a été directement invoqué devant M.________ puis auprès de la Cour de céans – soit un enchaînement chronologique qui n’apparaît en rien contraire au principe de la bonne foi. En tout état de cause, même à supposer que les circonstances décrites ci-dessus soient constitutives d’un motif de récusation invoqué tardivement, il reste que ce retard ne serait pas imputable à un</w:t>
      </w:r>
    </w:p>
    <w:p>
      <w:r>
        <w:t>- 15 - comportement délibéré du recourant qui aurait patienté jusqu’à la présente procédure pour se prévaloir d’un grief déjà connu auparavant ; sous cet angle, il y a lieu de reconnaître la bonne foi subjective de l’intéressé. En outre, les éléments au dossier démontrent sans équivoque que le motif de récusation invoqué à l’encontre de l’expert Q.________ s’avère manifestement bien fondé (cf. consid. 5b infra). Dans ces conditions, la Cour de céans serait quoi qu’il en soit habilitée à se saisir d’office de la question, nonobstant l’éventuelle tardiveté du grief. b) Sont de nature formelle les motifs de récusation qui sont énoncés dans la loi (art. 10 PA [loi fédérale du 20 décembre 1968 sur la procédure administrative ; RS 172.021] et 36 al. 1 LPGA) parce qu'ils sont propres à éveiller la méfiance à l'égard de l'impartialité de l'expert. Ainsi,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9C_180/2013 du 31 décembre 2013 consid. 2.2 et les références citées). En l’espèce, le recourant met en cause l’impartialité de l’expert Q.________ au motif que celui-ci est l’associé du Dr D.________. A cet égard, il est admis que ces deux médecins exploitent ensemble un cabinet de groupe. Il apparaît par ailleurs que c’est le Dr D.________ qui, initialement, a proposé de confier un mandat d’expertise à son confrère et associé le Dr Q.________ (cf. avis du 26 juillet 2019) tout en avançant également le nom de deux autres confrères (les Drs [...] et [...]).M.________, donnant suite à la proposition de son médecin-conseil, a désigné expert l’associé de ce dernier. C’est ainsi après avoir successivement fait appel à un médecin-conseil et à un expert médical</w:t>
      </w:r>
    </w:p>
    <w:p>
      <w:r>
        <w:t>- 16 - œuvrant au sein du même cabinet de groupe que M.________ a statué sur le cas de l’assuré. Cela étant, quand bien même le Dr D.________ a ultérieurement mis en avant le fait que le Dr Q.________ et lui se limitaient à partager des locaux et les frais y relatifs tout en demeurant indépendants dans l’exercice de leurs activités respectives (cf. écrits des 2 novembre 2020 et 11 janvier 2021), il reste qu’une telle constellation était de nature à créer objectivement l’apparence d’une prévention, dans la mesure où deux spécialistes exploitant un même cabinet de groupe – qui plus est, un cabinet de petite taille impliquant des contacts autrement plus fréquents et étroits que ceux d’experts œuvrant au sein d’un même centre d’expertise – ont en définitive été sollicités par M.________ aux fins d’émettre des appréciations décisives pour la prise de décision de l’intimée. Sous cet angle, le grief apparaît donc fondé. Au surplus, on ne saurait tenir pour déterminant le renvoi opéré par l’intimée à un arrêt rendu par la justice valaisanne le 13 mars 2013 (cf. courrier électronique de M.________ du 28 juillet 2020 et réponse du 5 novembre 2020 p. 21), cet arrêt n’abordant pas la problématique soulevée par le recourant quant aux relations entre les Drs D.________ et Q.________. c) A la lumière de ce qui précède, force est d’admettre la réalisation d’un motif de récusation à l’encontre du Dr Q.________, justifiant d’écarter l’appréciation émise par ce médecin. Entachés d’un vice formel, le rapport d’expertise du 12 novembre 2019 et son complément du 10 mars 2020 ne peuvent donc se voir reconnaître valeur probante. Il s’ensuit qu’à défaut d’appréciation spécialisée départageant les avis divergents émis par les Drs D.________, V.________ et N.________, la Cour de céans ne se trouve pas en mesure de trancher le fond de l’affaire. En conséquence, il y a lieu de renvoyer la cause à l’intimée, dès lors qu’il lui appartient au premier chef d’instruire conformément au principe inquisitoire qui régit la procédure dans le domaine des assurances sociales. Il incombera ainsi à M.________ de mettre en œuvre une nouvelle expertise orthopédique satisfaisant aux exigences légales en la matière,</w:t>
      </w:r>
    </w:p>
    <w:p>
      <w:r>
        <w:t>- 17 - en particulier les art. 36 et 44 LPGA. Il lui reviendra ensuite de statuer à nouveau sur le droit aux prestations du recourant au-delà du 8 janvier 2019, des suites de l’accident subi le 5 août 2018. Vu l’issue du recours, il n’y a pas lieu de se prononcer sur les autres arguments et réquisitions des parties. 6. a) En conclusion, le recours doit être admis et la décision sur opposition litigieuse annulée, la cause étant renvoyée à l’intimée pour complément d’instruction dans le sens des considérants et nouvelle décision. b) Il n’y a pas lieu de percevoir de frais judiciaires, la procédure étant gratuite (art. 61 let. a LPGA dans sa teneur en vigueur jusqu’au 31 décembre 2020, applicable en l’occurrence selon l’art. 82a LPGA).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