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ZA20.031584 vom 21. September 2021</w:t>
      </w:r>
    </w:p>
    <w:p>
      <w:r>
        <w:t>VD Tribunal cantonal, 2021-09-21, FR</w:t>
      </w:r>
    </w:p>
    <w:p>
      <w:r>
        <w:rPr>
          <w:b/>
        </w:rPr>
        <w:t xml:space="preserve">Quelle: </w:t>
      </w:r>
      <w:r>
        <w:t>https://mcp.opencaselaw.ch/entscheid/vd_gerichte_ZA20.031584</w:t>
      </w:r>
    </w:p>
    <w:p>
      <w:r>
        <w:t>FR: VD_GERICHTE ZA20.031584 du 21 septembre 2021</w:t>
      </w:r>
    </w:p>
    <w:p>
      <w:r>
        <w:t>IT: VD_GERICHTE ZA20.031584 del 21 settembre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des prestations de la V.________ au-delà du 11 octobre 2019.</w:t>
      </w:r>
    </w:p>
    <w:p>
      <w:r>
        <w:rPr>
          <w:b/>
        </w:rPr>
        <w:t>E. 3</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w:t>
      </w:r>
    </w:p>
    <w:p>
      <w:r>
        <w:t>- 8 -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Le seul fait que des symptômes douloureux ne se sont manifestés qu'après la survenance d'un accident ne suffit pas à établir un rapport de causalité naturelle avec cet accident (raisonnement post hoc ergo propter hoc ; ATF 119 V 335 consid. 2b/bb ; TF 8C_335/2018 du 7 mai 2019 consid. 5).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8C_169/2019 du 10 mars 2020 consid. 5.3). c) Le droit à des prestations de l'assurance-accidents suppose en outre l'existence d'un lien de causalité adéquate entre l’événement accidentel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les références ; TF 8C_99/2019 du 8 octobre 2019 consid. 4.1.1). En matière de troubles physiques, la causalité adéquate se confond pratiquement avec la causalité naturelle (ATF 138 V 248 consid. 4 et les références citées ; TF 8C_220/2016 du 10 février 2017 consid. 7.3).</w:t>
      </w:r>
    </w:p>
    <w:p>
      <w:r>
        <w:t>- 9 - d)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(TF 8C_650/2018 du 23 octobre 2019 consid. 4.2 et les références citées).</w:t>
      </w:r>
    </w:p>
    <w:p>
      <w:r>
        <w:rPr>
          <w:b/>
        </w:rPr>
        <w:t>E. 4</w:t>
      </w:r>
    </w:p>
    <w:p>
      <w:r>
        <w:t>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w:t>
      </w:r>
    </w:p>
    <w:p>
      <w:r>
        <w:t>- 10 - preuve, ni sa désignation comme rapport ou comme expertise, mais bel et bien son contenu (ATF 134 V 231 consid. 5.1 ; 125 V 351 consid. 3a ; TF 8C_75/2017 du 24 octobre 2017 consid. 3.4).</w:t>
      </w:r>
    </w:p>
    <w:p>
      <w:r>
        <w:rPr>
          <w:b/>
        </w:rPr>
        <w:t>E. 5</w:t>
      </w:r>
    </w:p>
    <w:p>
      <w:r>
        <w:t>a) En l’espèce, il est constant que l’assuré a glissé dans un escalier le 10 ou 11 juillet 2019 (selon les versions) et que, alors qu’il cherchait à se retenir à la balustrade, son épaule gauche a été étirée vers l’arrière (cf. déclaration d’accident du 22 juillet 2019 [« l’épaule a été distendue »] et procès-verbal d’entretien du 15 janvier 2020 [« mon épaule gauche est partie en arrière »]). Les parties ne contestent pas que cet événement relève d’un accident au sens de la législation applicable. b) Est en revanche disputée la question de la persistance, au- delà du 11 octobre 2019, du lien de causalité naturelle entre les troubles de l’épaule gauche du recourant et l’accident assuré. L’intimée, se fondant sur l’avis du Dr B.________ du 17 janvier 2020, a en effet retenu que l’événement survenu en juillet 2019 ne déployait plus d’effets au-delà du 11 octobre 2019. Le recourant, pour sa part, a contesté cette appréciation en faisant valoir que les troubles affectant actuellement son épaule gauche étaient liés à l’événement annoncé le 22 juillet 2019 à la V.________. aa) Dans le cadre de son appréciation, le Dr B.________ a considéré que, en l’absence de lésion structurelle imputable à l’événement de juillet 2019 et en présence d’un état antérieur démontré à l’imagerie, l’événement en cause avait cessé de déployer ses effets à la date de l’IRM du 11 octobre 2019. Il a plus particulièrement retenu que l’intervention pratiquée le 10 décembre 2019 ne constituait pas une suite au moins partielle de l’événement litigieux et que des troubles préexistants – à savoir une arthrose acromio-claviculaire, un conflit sous- acromial osseux, une tendinopathie du long biceps, des déchirures partielles non transfixiantes du supra-épineux, une scapula alata et une</w:t>
      </w:r>
    </w:p>
    <w:p>
      <w:r>
        <w:t>- 11 - amyotrophie péri-scapulaire après résection tumorale en 1999 – passagèrement aggravés par l’accident y avaient contribué. Il a encore ajouté que le temps habituel de guérison d’une contusion/distorsion bénigne de l’épaule était de quatre à six semaines mais que, en présence d’un état antérieur, ce délai pouvait aller jusqu’à quatre à six semaines supplémentaires. bb) Il est indéniable qu’au moment de l’accident de juillet 2019, l’assuré présentait des troubles préexistants au niveau de l’épaule gauche. D’une part, cette épaule affichait les séquelles d’interventions subies une vingtaine d’années plus tôt pour une tumeur à l’aisselle gauche. C’est en particulier des suites de ces interventions que la radiographie réalisée le 11 juillet 2019 a montré une déformation costale avec clips métalliques (cf. rapport du Service de radiologie de l’Hôpital K.________ du 14 juillet 2019) et que, dans le cadre de sa prise en charge spécialisée, le Dr J.________ a identifié une omoplate assez rigide avec scapula alata dans un contexte d’amyotrophies musculaires et d’atteintes du nerf long thoracique et du nerf grand dorsal (cf. rapport du 8 novembre 2019). D’autre part, les examens pratiqués ont mis en évidence un acromion de type III avec diminution de l’espace sous-acromial par la morphologie de l’acromion (cf. rapport du Service de radiologie de l’Hôpital K.________ du 14 juillet 2019), celui-ci étant qualifié d’agressif (cf. rapport du Dr J.________ du 8 novembre 2019). Ces troubles, consécutifs à des opérations réalisées plusieurs années auparavant pour les uns et d’origine purement morphologique pour les autres, ne peuvent clairement pas être imputés à l’événement de juillet 2019. La poursuite des investigations menées à l’Hôpital K.________ a toutefois abouti à une IRM réalisée le 11 octobre 2019, laquelle a mis en évidence une arthrose acromio-claviculaire avec composante inflammatoire et bursite sous-acromio-deltoïdienne, des petites déchirures du sus-épineux sans rupture transfixiante, ainsi qu’un long chef du biceps brachial continu mais discrètement subluxé médialement par rapport à sa gouttière (cf. rapport du Service de radiologie de l’Hôpital K.________ du 11 octobre 2019). C’est dans ce contexte que le Dr J.________ a conclu à un</w:t>
      </w:r>
    </w:p>
    <w:p>
      <w:r>
        <w:t>- 12 - conflit sous-acromial osseux de l’épaule gauche associé à une arthrose acromio-claviculaire gauche, une rupture partielle du tendon supra- épineux etune tendinopathie du tendon du chef long du biceps, et qu’il a de ce fait pratiqué une arthroscopie de l’épaule gauche le 10 décembre 2019, avec ténotomie du biceps, acromioplastie et résection distale de la clavicule (cf. rapport du Dr J.________ du 8 novembre 2019 et protocole opératoire du 10 décembre 2019). Contrairement à ce que soutient l’intimée (cf. réponse du 17 septembre 2020 p. 14 s.), il appert néanmoins que le Dr J.________ ne s’est pas positionné sur la question du lien de causalité entre les troubles susmentionnés et l’événement du mois de juillet 2019. Se plaçant sous l’angle de l’interaction entre les différents troubles, ledit spécialiste a certes relevé une dysfonction de l’épaule gauche qui aggravait le conflit sous-acromial chez un patient présentant une morphologie acromiale agressive (cf. rapport du Dr J.________ du 8 novembre 2019). Quel qu’ait été le rôle joué par les antécédents chirurgicaux et la typologie de l’acromion, on ne peut toutefois déduire de ce seul constat que le Dr J.________ aurait réfuté toute relation de causalité – même partielle – entre l’accident survenu en juillet 2019 et les troubles révélés à l’imagerie trois mois plus tard. A cet égard, il faut souligner que l’intimée n’a jamais adressé la moindre demande de rapport au Dr J.________, alors même que ce dernier a pris en charge le cas depuis l’accident, et qu’elle ne l’a pas interpellé plus spécifiquement sur la question de la causalité naturelle. En tout et pour tout, la V.________ s’est contentée du rapport établi le 8 novembre 2019 par le Dr J.________ à l’attention du médecin traitant de l’assuré concernant la prochaine mise en œuvre d’une intervention chirurgicale. Force est toutefois de relever que la portée de ce rapport était limitée au choix d’une option thérapeutique, sans égard à l’origine des atteintes détectées. Partant, le fait que ce compte-rendu ne contienne aucune mention relative à la causalité n’apparaît pas révélateur en soi et ne permet pas, en tant que tel, de se livrer à des conjectures sur l’(in)existence d’un éventuel lien entre l’accident de juillet 2019 et les troubles constatés à l’automne suivant. Telle n’était pas non plus la vocation des documents relatifs à l’intervention du 10 décembre 2019. Pour le reste, il convient de rappeler que la radiographie réalisée dans les suites immédiates de l’accident, le</w:t>
      </w:r>
    </w:p>
    <w:p>
      <w:r>
        <w:t>- 13 - 11 juillet 2019, avait notamment pour indication une suspicion de luxation de l’épaule gauche après un traumatisme par étirement. Or l’IRM effectuée le 11 octobre 2019 a précisément mis en lumière une subluxation – certes discrète – du long chef du biceps de l’épaule gauche, pour laquelle une ténotomie a été pratiquée lors de l’intervention du 10 décembre 2019. On peut ainsi plus particulièrement s’interroger sur la relation entre cette lésion et l’accident litigieux. En résumé, sur la seule base de la documentation médicale émanant de l’Hôpital K.________, on ne peut trancher le point de savoir si les troubles de l’épaule gauche persistant au-delà du 11 octobre 2019 sont dus au moins en partie à l’accident intervenu au mois de juillet 2019. Quant à l’avis émis le 17 janvier 2020 par le Dr B.________, il se contente d’extraire certains éléments de la documentation médicale susdite pour en conclure à l’absence de lien de causalité au-delà du 11 octobre 2019, sans étayer objectivement une telle position. En particulier, le Dr B.________ n’a aucunement détaillé les éléments l’amenant à retenir que l’accident litigieux n’avait pas engendré de lésions structurelles et que seuls des troubles antérieurs avaient été révélés à l’imagerie. De telles affirmations péremptoires ne sont donc guère convaincantes. On notera plus spécifiquement que le Dr B.________ n’a proposé aucune analyse quant à l’origine des lésions révélées à l’imagerie du 11 octobre 2019 ; en particulier, il ne s’est pas prononcé quant à l’étiologie de la subluxation induisant une tendinopathie du long biceps traitée par ténotomie le 10 décembre 2019, alors même qu’une suspicion de luxation avait été évoquée dans les suites immédiates de l’accident. Par ailleurs, si le Dr B.________ a retenu que l’événement de juillet 2019 avait entraîné une contusion/distorsion bénigne, il demeure que ce constat ne repose pas sur l’avis des médecins consultés dans les suites de l’accident – lesquels n’ont pas été interpellés par l’intimée – et que, de surcroît, l’indication à la radiographie du 11 juillet 2019 évoquait quant à elle un traumatisme par étirement, ce qui n’est pas comparable à une simple contusion/distorsion. L’appréciation du Dr B.________ apparaît donc lacunaire et ne permet pas de conclure à un statu quo sine atteint le 11 octobre 2019.</w:t>
      </w:r>
    </w:p>
    <w:p>
      <w:r>
        <w:t>- 14 - Quant au certificat médical émis par le Dr Z.________ le 12 octobre 2019, il s’avère dépourvu de réelle motivation et repose essentiellement sur l’adage post hoc ergo propter hoc. On ne saurait dès lors se fonder sur un tel document pour trancher la présente contestation. cc) Faute d’avis médical permettant de se positionner sur la question litigieuse, la Cour de céans n’est dès lors pas en mesure de statuer. c) En définitive, il appert que les faits pertinents n’ont pas été constatés de manière satisfaisante et qu’il convient ainsi de compléter l’instruction en vue de déterminer si les troubles affectant l’épaule gauche du recourant présentent un lien de causalité avec l’accident assuré au- delà du 11 octobre 2019. Il se justifie par conséquent d’ordonner le renvoi de la cause à la V.________ – à qui il appartient au premier chef d’instruire, conformément au principe inquisitoire qui régit la procédure dans le domaine des assurances sociales selon l’art. 43 al. 1 LPGA –, cette solution apparaissant comme la plus opportune. Il incombera ainsi à l’intimée d’interpeller les médecins de l’Hôpital K.________, singulièrement le Dr J.________, avant de soumettre leur appréciation à son service médical puis, sur cette base et pour autant qu’aucune autre mesure d’instruction ne s’impose, de rendre une nouvelle décision statuant sur les prétentions du recourant.</w:t>
      </w:r>
    </w:p>
    <w:p>
      <w:r>
        <w:rPr>
          <w:b/>
        </w:rPr>
        <w:t>E. 6</w:t>
      </w:r>
    </w:p>
    <w:p>
      <w:r>
        <w:t>a) En conclusion, le recours doit être admis et la décision attaquée annulée, la cause étant renvoyée à l’intimée pour instruction complémentaire dans le sens des considérants et nouvelle décision. b) Il n’y a pas lieu de percevoir de frais judiciaires (art. 61 let. a LPGA dans sa teneur en vigueur jusqu’au 31 décembre 2020, applicable conformément à l’art. 82a LPGA), ni d’allouer de dépens, la partie recourante ayant procédé sans mandataire qualifié (ATF 127 V 205 consid. 4b).</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