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ZA20.019192 vom 1. Juli 2021</w:t>
      </w:r>
    </w:p>
    <w:p>
      <w:r>
        <w:t>VD Tribunal cantonal, 2021-07-01, FR</w:t>
      </w:r>
    </w:p>
    <w:p>
      <w:r>
        <w:rPr>
          <w:b/>
        </w:rPr>
        <w:t xml:space="preserve">Quelle: </w:t>
      </w:r>
      <w:r>
        <w:t>https://mcp.opencaselaw.ch/entscheid/vd_gerichte_ZA20.019192</w:t>
      </w:r>
    </w:p>
    <w:p>
      <w:r>
        <w:t>FR: VD_GERICHTE ZA20.019192 du 1 juillet 2021</w:t>
      </w:r>
    </w:p>
    <w:p>
      <w:r>
        <w:t>IT: VD_GERICHTE ZA20.019192 del 1 luglio 2021</w:t>
      </w:r>
    </w:p>
    <w:p>
      <w:pPr>
        <w:pStyle w:val="Heading2"/>
      </w:pPr>
      <w:r>
        <w:t>Erwägungen</w:t>
      </w:r>
    </w:p>
    <w:p>
      <w:r>
        <w:rPr>
          <w:b/>
        </w:rPr>
        <w:t>E. 16</w:t>
      </w:r>
    </w:p>
    <w:p>
      <w:r>
        <w:t>kg à gauche, avec des douleurs. La mobilité des doigts était libre et indolore. La Dre N.________ n’a pas proposé de nouvelle intervention chirurgicale mais un contrôle au besoin. Elle a maintenu l’incapacité de travail au taux de 50 % en considérant que l’assuré n’avait pas de possibilité de travailler à 100 % dans son activité habituelle en raison de la fatigue rapide survenant au poignet gauche. Le 26 février 2019, à la demande de la Dre X.________, la CNA a requis un second avis auprès du Dr R.________. L’assuré ne s’est pas rendu à la convocation du Dr R.________ du 10 mai 2019 au motif qu’il était malade.</w:t>
      </w:r>
    </w:p>
    <w:p>
      <w:r>
        <w:t>- 7 - Par décision du 14 mai 2019, la CNA a informé l’assuré qu’en raison de son manque de collaboration (omission de se présenter à un examen médical pour diverses raisons en dates des 10 et 29 janvier 2019 et du 10 mai 2019), elle mettait fin à ses prestations au 16 mai 2019. Dans un avis médical du 22 mai 2019, la Dre X.________, après avoir rappelé que l’assuré ne s’était pas présenté à la convocation chez le Dr R.________ le 10 mai 2019, a considéré sur la base du dossier, de son examen clinique du 13 février 2019 et du rapport du 15 février 2019 de la Dre N.________ - dont il ressortait que le traitement était terminé -, que l’état de santé de l’assuré était stabilisé, aucune nouvelle intervention n’ayant été proposée. Elle a retenu les limitations fonctionnelles suivantes : pas d’activité répétée avec la main et le poignet gauches, pas d’activité lourde avec le membre supérieur gauche, pas de port de charge supérieur à 20 kg. Dans une activité parfaitement adaptée à ces limitations fonctionnelles, la Dre X.________ a considéré que la capacité de travail était entière. Au surplus, elle a estimé que, chez un assuré droitier qui a la possibilité d’adapter son travail, qui n’effectue pas des activités de mécanicien sur voiture toute une journée mais uniquement de petites réparations ou mises en conformité du véhicule en fonction de l’achat des véhicules trouvés, l’activité habituelle était adaptée et qu’il y avait lieu de retenir que l’assuré disposait d’une pleine capacité de travail sans limitation de rendement dans son activité de marchand de voitures. Le 3 juin 2019, l’assuré a été vu en consultation par le Dr S.________, médecin associé au Service de chirurgie plastique et de la main du W.________. Dans le rapport du même jour, le Dr S.________ a retenu, à titre de séquelles de l’événement du 7 décembre 2017, une arthrose post- traumatique sévère radio-lunaire avec douleurs aux charges même légères, une perte d’endurance de la main gauche, une perte de force de deux tiers, une perte d’extension de 40 % et une pseudoarthrose de la styloïde ulnaire asymptomatique. Lors de cette consultation, l’assuré a déclaré travailler à 50 % mais estimer être moins rentable. Il a exposé parvenir à peine à tenir et manipuler 1 kg, ne rien faire de lourd, ne pas</w:t>
      </w:r>
    </w:p>
    <w:p>
      <w:r>
        <w:t>- 8 - arriver pas à porter son enfant de dix-huit mois avec ses deux mains. S’il conduit 60 kilomètres, les douleurs sont à 6/10, en particulier lors des secousses. Il a indiqué ne pas imaginer aller à la CRR sur un mode stationnaire, à cause de son enfant. Le Dr S.________ concluait que l’état séquellaire était stable depuis plusieurs mois d’une mauvaise évolution d’une fracture articulaire comminutive très distale du radius distal gauche. Dans la situation actuelle, l’assuré n’aurait pas une meilleure fonction après une arthrodèse radio-scapho-luniare, ni en termes de force ni de mobilité. Il relevait que le patient était capable de vendre, d’acheter et de négocier par téléphone mais pas de préparer les véhicules ni de conduire plus de 60 à 100 kilomètres. Après avoir attesté une incapacité de travail de 50 %, le Dr S.________ priait la CNA de clore administrativement le dossier. Dans un avis médical du 6 juin 2019, la Dre X.________, après avoir rappelé les conclusions du Dr S.________ dans son rapport du 3 juin 2019, a considéré que celui-ci confirmait les limitations fonctionnelles qu’elle avait retenues le 22 mai 2019. Elle a estimé que l’assuré disposait d’une pleine capacité de travail dans une activité adaptée respectant les limitations fonctionnelles retenues, sans diminution de rendement. Au surplus, elle a considéré qu’un second avis auprès du Dr R.________ n’était plus nécessaire au vu du manque de collaboration de l’assuré et des conclusions du récent rapport du Dr S.________. Par décision du 1er juillet 2019, la CNA a informé le conseil de l’assuré, Me Hüznü Yilmaz, qu’après un nouvel examen de la situation, sa décision du 14 mai 2019 devait être considérée comme nulle et non avenue. Exposant que, de l’avis de son médecin d’arrondissement, la poursuite du traitement ne saurait apporter une amélioration significative de l’état de santé de l’assuré consécutif à l’accident, elle a indiqué mettre fin au versement des frais médicaux et de l’indemnité journalière avec effet au 3 juin 2019. Elle a précisé qu’elle allait procéder à l’examen du droit éventuel de l’assuré à d’autres prestations d’assurance.</w:t>
      </w:r>
    </w:p>
    <w:p>
      <w:r>
        <w:t>- 9 - Le 8 juillet 2019, la Caisse cantonale de compensation AVS a produit l’extrait du compte individuel AVS de l’assuré, dont il ressort que l’assuré a perçu 42'000 fr. en 2016 et 48'878 fr. en 2017 versés par E.________. A la demande de la Dre X.________, le dossier de l’assuré a été soumis pour avis médical au Prof. M.________, spécialiste en radiologie ostéo-articulaire, diagnostique et interventionnelle auprès de l’Institut de radiologie K.________, afin qu’il se détermine sur la gravité de l’arthrose au poignet gauche (radiographies des 4 juin et 1er novembre 2018 et CT-Scan du 4 juin 2018). Par rapport du 3 septembre 2019, le Prof. M.________ a retenu l’existence d’une très importante arthrose radio-carpienne, avec perte complète de la surface articulaire proximale du lunatum, due à une irritation par le matériel d’ostéosynthèse, mais surtout de la surface articulaire radiale distale, en particulier au niveau de la fossette lunarienne. L’interligne médio-carpienne était quant à elle bien préservée. Cela étant, le Prof. M.________ a conclu à l’existence d’une grave arthrose radio-carpienne. Dans son appréciation du 9 septembre 2019, se fondant sur son examen clinique du 13 février 2019 ainsi que sur le rapport du Prof. M.________ du 3 septembre 2019, la Dre X.________ a fixé l’indemnité pour atteinte à l’intégrité (ci-après : IPAI) à 15 % en retenant l’existence d’une grave arthrose radio-carpienne. Se référant à la table 5 des atteintes à l’intégrité résultant d’arthrose éditée par la CNA (réf. 2870/5.f), qui indique que l’arthrose radio-carpienne grave correspond à un taux d’IPAI de 10 à 25 %, le médecin d’arrondissement a indiqué que les séquelles de l’assuré correspondent par analogie à une arthrodèse du poignet gauche, ce qui justifie un taux de 15 %. Une note téléphonique du 30 septembre 2019 indique que la Caisse cantonale de compensation AVS a confirmé à la CNA que l’assuré était salarié de la société E.________ depuis mars 2016, qu’en 2016, il a gagné 42'000 francs et, en 2017, 48'878 francs.</w:t>
      </w:r>
    </w:p>
    <w:p>
      <w:r>
        <w:t>- 10 - Par décision du 14 octobre 2019, la CNA a informé l’assuré que selon ses constatations médicales, il disposait d’une pleine capacité de travail dans une activité n’ayant pas un caractère répétitif pour la main gauche et ne comportant pas de manutention de charges supérieures à 20 kg. Se fondant sur les chiffres ressortant de l’Enquête suisse sur la structure des salaires (ci-après : ESS) pour une activité de compétences 1 et en tenant compte d’une réduction de 5 % pour les limitations fonctionnelles retenues, la CNA est arrivée à la conclusion que l’assuré pouvait réaliser un salaire de 64'356 fr. dans une activité adaptée, soit davantage que le revenu d’une cinquantaine de milliers de francs qu’il obtiendrait sans accident. Cela étant, en l’absence d’une diminution notable de sa capacité de gain due à l’accident, elle ne pouvait lui reconnaître le droit à une rente d’invalidité. Pour ce qui est de l’IPAI, elle l’a fixée à 22'230 fr., soit 15 % de 148'200 francs. Par courrier du 15 novembre 2019 de son mandataire, l’assuré a formé opposition à la décision du 14 octobre 2019. Dans son complément d’opposition du 31 janvier 2020, l’assuré a critiqué tant la capacité de travail que les limitations fonctionnelles retenues dans la décision de la CNA, qui seraient arbitraires, faute de reposer sur un examen médical neutre. Se référant au rapport du 6 janvier 2020 du Dr S.________ produit en annexe, qui retient une capacité de travail de 50 %, l’assuré a fait valoir en bref qu’il peinait à maintenir l’activité d’indépendant qu’il avait reprise le 1er octobre 2018 à 50 %. Cela étant, il estimait qu’une nouvelle appréciation de sa capacité de travail devait être effectuée et requérait à cette fin la mise en œuvre d’une expertise orthopédique. Par ailleurs, l’assuré a critiqué le calcul du degré d’invalidité effectué par la CNA ; il estimait que le revenu sans invalidité estimé à 50'000 fr. alors que le revenu invalidité avait été pour sa part fixé à plus de 64'000 francs, n’avait aucun sens et portait atteinte au principe du parallélisme des revenus. Il a en outre fait valoir que la CNA ne pouvait pas se fonder sur les données chiffrées résultant de son certificat individuel AVS, puisque celles-ci devaient être corrigées en fin d’année pour un indépendant. Il s’est engagé à produire les documents relatifs aux années 2015 à 2017 prouvant que ses revenus ont été largement</w:t>
      </w:r>
    </w:p>
    <w:p>
      <w:r>
        <w:t>- 11 - supérieurs au revenu sans invalidité indiqué dans la décision. Cela étant, l’assuré a principalement conclu à ce qu’il soit reconnu comme invalide à 100 % du jour de son accident, le 7 décembre 2017, subsidiairement à ce qu’il soit reconnu invalide à 100 % du jour de son accident puis à 50 % dès le 1er octobre 2018, avec mise au bénéfice de toutes les prestations LAA, y compris de l’indemnité pour atteinte à l’intégrité, dont le taux et le montant devaient être réévalués, ainsi qu’à la correction du montant des indemnités journalières qui devaient être rectifiées sur la base de la détermination des revenus réalisés avant l’accident. Dans un rapport du 6 janvier 2020, le Dr S.________ indiquait comme séquelles de l’accident du 7 décembre 2017 une arthrose post- traumatique sévère radio-lunaire, avec des douleurs aux charges même légères, une perte d’endurance de la main gauche, une perte de force de deux tiers, une perte d’extension de 40 % ainsi qu’une pseudoarthrose de la styloïde ulnaire asymptomatique. La palpation était douloureuse sur la face palmo-radiale du radius distal, indolore sur le lunatum et l’interligne radio-lunaire. Il relevait notamment que l’assuré se plaignait d’une sensation de fatigue au poignet gauche lorsqu’il conduisait par mauvais temps (les deux mains sur le volant) plus de 100 kilomètres. Au status, la mobilité en flexion/extension était à 65-0-40°, avec un Jamar de 25 kg à gauche et de 59 kg à droite. Le Dr S.________ relevait une petite amélioration des amplitudes et de la force de poigne de la main gauche. Il précisait que les douleurs anamnestiques étaient élevées et non reproductibles par l’examen clinique. Il indiquait que son patient travaillait à 50 % et était capable de vendre, d’acheter et de négocier au téléphone mais qu’il ne pouvait pas préparer des voitures ni conduire plus de 60 à 100 kilomètres, précision étant faite que l’assuré avait perdu son permis en octobre 2019. Par décision sur opposition du 17 avril 2020, la CNA a rejeté l’opposition et confirmé la décision du 14 octobre 2019. En ce qui concerne l’évaluation de la capacité de travail de l’assuré, elle a considéré que l’appréciation de la situation par la Dre X.________, avait une pleine valeur probante, dès lors qu’elle s’inscrivait dans le prolongement des</w:t>
      </w:r>
    </w:p>
    <w:p>
      <w:r>
        <w:t>- 12 - appréciations médicales figurant au dossier. Elle a rappelé que son médecin d’arrondissement avait procédé à un examen clinique de l’intéressé le 13 février 2019 et que c’est après avoir pris connaissance du rapport du 15 février 2019 de la Dre N.________, qui ne préconisait aucune intervention ou traitement complémentaire, et de celui du Dr S.________ du 3 juin 2019, qui faisait mention d’un état séquellaire stable depuis plusieurs mois et requérait de la CNA la clôture administrative du cas, que la Dre X.________ avait conclu que, chez un assuré droitier, qui avait la possibilité d’adapter son travail, n’effectuait pas d’activités de mécanicien sur toute une journée mais uniquement quelques petites réparations ou mises en conformité du véhicule, l’activité habituelle était adaptée et qu’une pleine capacité de travail était exigible à compter du mois de juin 2019, sans diminution de rendement. L’intimée a écarté la requête tendant à la mise en œuvre d’une expertise médicale en considérant que, compte tenu des séquelles objectives de la main gauche et en admettant que l’assuré se conforme à l’obligation de limiter le dommage, il y avait lieu de reconnaître que ce dernier disposait d’une capacité de travail entière dans une activité adaptée, de sorte qu’il y avait lieu de procéder sur cette base au calcul de l’invalidité. S’agissant du revenu sans invalidité contesté par l’assuré, la CNA a relevé en substance que, l’assuré étant l’associé-gérant de la société E.________, dont il détenait l’entier des parts sociales, il devait être traité comme un indépendant et que si un assuré s’était contenté durant plusieurs années d’un revenu modeste provenant de son activité indépendante, c’est celui-ci qui était déterminant pour fixer le revenu de valide. La CNA a également rappelé que le Tribunal fédéral exclut en général un parallélisme des revenus en cas d’activité indépendante (cf. 8C_196/2013 du 21 août 2013). Ainsi, le revenu sans invalidité à retenir était celui qui ressortait de l’extrait du compte individuel AVS, soit en l’espèce environ 50'000 francs. En ce qui concerne le revenu avec invalidité, la CNA a indiqué que, l’assuré estimant ne pouvoir exercer son activité lucrative qu’à 50 % alors que sa capacité résiduelle de travail devait être considérée comme entière dans une activité adaptée, elle était en droit de se référer aux données salariales tirées de l’ESS pour l’année 2016, soit plus exactement au salaire versé en 2016 à un homme dans le secteur privé, avec un niveau de compétences</w:t>
      </w:r>
    </w:p>
    <w:p>
      <w:r>
        <w:t>- 13 - 1, correspondant à des tâches physiques ou manuelles simples et ne nécessitant aucune formation particulière, à savoir à un salaire de 5'340 fr. par mois (ESS 2016, secteur privé Total TA1_tirage_skill_level). Après adaptation à la durée de travail hebdomadaire usuelle en Suisse (5'340 fr. : 40 X 41.70 heures x 12 = 66'803 fr. 40) et à l’évolution des salaires jusqu’en 2019 (T1.15 Indice des salaires nominaux 2016-2019 : + 0.4 % en 2017 + 0.5 % en 2018 et + 0.5 % en 2019), le revenu d’invalide se montait à 67'743 francs, auquel avait été appliqué un abaissement de 5 % pour tenir compte des limitations fonctionnelles de l’assuré, ce qui aboutissait à un revenu d’invalide de 64'356 fr. par an. La comparaison entre le revenu avec et sans invalidité ne laissant apparaître aucune perte de gain, le refus d’une rente d’invalidité était justifié. Enfin, la CNA a confirmé le taux de l’IPAI, faute pour le recourant d’avoir apporté des éléments médicaux susceptibles de le remettre en cause. En ce qui concerne le montant de l’IPAI, elle a rappelé que celui-ci était calculé sur le montant maximum du gain annuel assuré à l’époque de l’accident, en l’occurrence 148'200 francs. B. Par acte de son conseil du 19 mai 2020, J.________ a recouru devant la Cour des assurances sociales du Tribunal cantonal du canton de Vaud contre la décision sur opposition de la CNA du 17 avril 2020 en concluant principalement à l’annulation de la décision attaquée, la cause étant renvoyée à la CNA pour qu’elle détermine toutes les prestations LAA entrant en ligne de compte, y compris leur montant et leur taux. Subsidiairement, il conclut à ce qu’il soit « reconnu invalide au minimum à 100% du jour de son accident, le 7 décembre 2017, au 30 septembre 2018 et de 50% au minimum dès le 1er octobre 2018 », la cause étant renvoyée à l’intimée pour déterminer toutes les prestations de la LAA auxquelles il a droit, avec correction du montant des indemnités journalières passées et à venir ainsi que celui de l’indemnité pour atteinte à l’intégrité dont le taux et le montant doivent être réévalués. Le recourant soutient que l’instruction menée par l’intimée est lacunaire et que l’évocation à plusieurs reprises dans le dossier d’une évaluation médicale par la CRR démontre la volonté de la CNA de le soumettre à un examen plus poussé ; à cet égard, il conteste tout manque de collaboration de sa part et fait</w:t>
      </w:r>
    </w:p>
    <w:p>
      <w:r>
        <w:t>- 14 - valoir qu’il a accueilli favorablement la proposition d’une instruction poussée par la CRR pour autant qu’elle ne se fasse pas sur un mode stationnaire pour des raisons familiales. Ceci étant, il requiert la mise en œuvre d’une expertise médicale judiciaire. Dans l’éventualité où l’instruction serait considérée comme suffisante, il soutient que les conclusions à tirer des rapports médicaux vont à l’encontre de la motivation de la décision entreprise. Selon le recourant, le médecin d’arrondissement de la CNA n’a émis aucune appréciation probante de sa capacité de travail alors que les incapacités retenues par les Drs N.________ et S.________ sont maintenues et très claires. Il fait valoir que la Dre X.________ n’a aucune compétence ni légitimité pour écarter les rapports médicaux des Drs N.________ et S.________ figurant au dossier, selon lesquels la capacité de travail probante est de 50 %. Le recourant soutient également que son droit d’être entendu a été violé dès lors qu’il avait annoncé dans son opposition vouloir rassembler les pièces pour démontrer que ses revenus avant l’accident étaient plus importants que ceux retenus par l’intimée et que celle-ci a rendu la décision dont est recours avant qu’il ait pu les produire. Enfin, le recourant soutient que les bases des calculs effectués par l’intimée pour ce qui est des indemnités journalières et de l’IPAI sont erronées et que dits calculs doivent être corrigés sur la base des pièces qu’il doit fournir et des résultats des mesures d’instruction nouvelles. Par réponse du 3 septembre 2020, l’intimée a conclu au rejet du recours, en relevant que la conclusion du recourant tendant à ce que le montant des indemnités journalières soit corrigé est irrecevable, dès lors qu’il ne fait pas l’objet du présent litige. En ce qui concerne l’appréciation de la capacité de travail, l’intimée fait valoir qu’il n’y a pas d’éléments dans les rapports des Drs N.________ et S.________ permettant de s’écarter de l’évaluation de son médecin d’arrondissement, qui a pleine valeur probante. Rappelant que le recourant dispose d’une pleine capacité de travail dans une activité adaptée à ses limitations fonctionnelles et relevant l’absence de critique quant au calcul de l’invalidité, l’intimée renvoie pour le surplus à la motivation de la décision entreprise sur ce point. En ce qui concerne le taux de l’IPAI, l’intimée estime qu’il n’y a pas d’avis médical permettant de mettre en doute l’évaluation de la Dre</w:t>
      </w:r>
    </w:p>
    <w:p>
      <w:r>
        <w:t>- 15 - X.________. S’agissant du montant de l’IPAI, elle rappelle que dite indemnité se chiffre en pourcentage du montant maximum du gain annuel assuré à l’époque de l’accident (art. 22 al. 1 OLAA), lequel se montait, en 2017, à 148'200 francs. En conclusion, l’intimée conteste le grief d’une instruction lacunaire, qu’on ne saurait inférer de l’absence de séjour mis en œuvre à la CRR, qui n’a été préconisée ni par son médecin d’arrondissement, ni par le Dr S.________, qui, dans son rapport du 3 juin 2019, l’avait invitée à clore le cas administrativement. Par écriture du 28 octobre 2020, le recourant a requis la suspension de la présente procédure. A l’appui de sa requête, il a produit une copie de la communication de l’Office de l’assurance-invalidité pour le canton de Vaud (ci-après : l’OAI) du 8 octobre 2020 et de l’avis médical de son service médical régional (ci-après : le SMR) du 6 août 2020 aux termes duquel une expertise orthopédique doit être mise en œuvre au vu des divergences des avis médicaux concernant la capacité de travail du recourant. Dans ses déterminations du 18 novembre 2020, l’intimée a conclu au rejet de la requête de suspension. Elle fait valoir en substance que la situation médicale du recourant étant stabilisée depuis le 3 juin 2019, fait non remis en cause par l’intéressé, l’évaluation de l’exigibilité à laquelle a procédé la Dre X.________ doit s’entendre, s’agissant tant de l’activité habituelle que de l’activité adaptée, à compter de cette date. Elle relève que le fait que la Dre N.________ ait attesté, le 14 février 2019, que le recourant était apte à travailler à 100 % dans une activité adaptée, ne saurait remettre en cause l’estimation de la capacité de travail retenue par son médecin d’arrondissement. A la requête de la juge instructrice, l’OAI a produit le dossier de l’assuré le 8 décembre 2020. Dans celui-ci figure un rapport de la Dre N.________ du 14 février 2019 à l’attention de l’OAI dans lequel elle retient les limitations fonctionnelles suivantes : pas d’effort prolongé du poignet et pas de port de charges supérieur à 10 à 15 kg. Dans l’activité habituelle de marchand de voiture, elle estime que la capacité de travail du</w:t>
      </w:r>
    </w:p>
    <w:p>
      <w:r>
        <w:t>- 16 - recourant est de 50% et que, dans une activité adaptée à ses limitations fonctionnelles, elle est de 100 %. Invitée à se déterminer sur le dossier de l’OAI, la CNA, par écriture du 18 janvier 2021, a indiqué que les pièces figurant dans le dossier de l’OAI n’étaient pas de nature à remettre en cause la décision du</w:t>
      </w:r>
    </w:p>
    <w:p>
      <w:r>
        <w:rPr>
          <w:b/>
        </w:rPr>
        <w:t>E. 17</w:t>
      </w:r>
    </w:p>
    <w:p>
      <w:r>
        <w:t>avril 2020, en rappelant que le juge des assurances sociales doit apprécier la légalité des décisions attaquées sur la base de l’état de fait existant au moment de la clôture de la procédure administrative. Elle a confirmé ses conclusions tendant au rejet du recours. Par déterminations du 18 février 2021, le recourant a confirmé l’intégralité de ses conclusions. Il a produit le rapport médical établi par le Dr S.________ le 11 janvier 2021 à la demande de l’OAI, lequel a annulé l’expertise médicale qu’il avait envisagée de confier au Service de chirurgie plastique et de la main puisque le recourant comptait parmi ses patients. Cela étant, il fait valoir que ce rapport médical atteste une incapacité de travail de 100 % du 7 décembre 2017 au 1er octobre 2018 et de 50 % dès cette date. Soutenant que les activités mentionnées dans le rapport du 11 janvier 2021 sont celles d’acheteur/vendeur et de préparateur de véhicules et que le Dr S.________ a confirmé qu’il n’est pas possible d’établir quel pourcentage de son activité est consacré au travail de vente et aux relations avec les clients et quelle autre partie concerne l’activité consistant à aller chercher et à préparer les véhicules pour la vente, il maintient qu’il n’existe aucun rapport médical constatant une capacité de travail totale dans l’activité habituelle. Cela étant, le recourant estime que l’instruction menée par l’intimée reste incomplète sur plusieurs points dès lors que l’activité habituelle n’est pas raisonnablement exigible à 100 % et que toute activité qui serait considérée comme compatible avec son état de santé reste à démontrer, sans diminution de rendement, avec la possibilité de réaliser un revenu au moins égal à celui qu’il percevait avant l’accident. Le rapport du Dr S.________ du 11 janvier 2021 à l’attention de l’OAI atteste une incapacité de travail de 100 % à compter du 17</w:t>
      </w:r>
    </w:p>
    <w:p>
      <w:r>
        <w:t>- 17 - décembre 2017 et de 50 % à compter du 1er octobre 2018 dans l’activité d’acheteur/vendeur, préparateur de véhicules jusqu’au jour du rapport. Selon le Dr S.________, l’assuré restera incapable de fournir des efforts maximaux de la main gauche de manière définitive mais la mobilité et la force résiduelle sont suffisantes pour qu’il n’y ait pas de proposition de chirurgie de sauvetage, qui ne parviendrait pas à élever cette fonction. Ainsi, l’assuré restera incapable de porter des charges de plus de 5 kg sur de longues durées ou d’effectuer des travaux manuels en amplitude finale du poignet. Le travail de vente, de communication et de relation avec les clients ainsi que les travaux de bureau peuvent être effectués à 100 % ; par contre la partie de la préparation des véhicules ne peut pas être effectuée comme avant l’accident. Le Dr S.________ retient comme limitations fonctionnelles une diminution des amplitudes et de la force du poignet gauche. Il indique ne pas avoir de doutes quant à la capacité de conduire de l’assuré. Cela étant, il estime que dans son activité habituelle, l’assuré peut travailler le nombre d’heures « normal », pour autant qu’il ne porte pas des charges de plus de 5 kg. Dans une activité adaptée, l’assuré peut effectuer un horaire « normal ». Si son pronostic est bon quant au potentiel de réadaptation de l’assuré, le Dr S.________ relève que l’intéressé a toutefois de la difficulté à accepter la perte de revenu, en soulignant qu’apparemment il gagnait très bien sa vie dans son activité indépendante de vente de voiture et qu’il est difficile de déterminer quelle part il prenait dans la préparation des véhicules avant l’accident. L’intimée ne s’est pas déterminée plus avant.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- 18 -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a pour objet le droit du recourant à une rente d’invalidité de l’assurance-accidents et le taux de l'indemnité pour atteinte à l’intégrité retenu par l'intimée. Les conclusions du recourant tendant à la poursuite du versement de l’indemnité journalière et à la réévaluation de son montant sont irrecevables dès lors qu’elles ne ressortissent pas à l’objet de la décision dont est recours, qui statue uniquement sur le droit du recourant à une rente d’invalidité et fixe le taux de l’IPAI. Au demeurant, il y a lieu de constater que le recourant, qui était déjà assisté d’un mandataire professionnel, ne s’est pas opposé à la</w:t>
      </w:r>
    </w:p>
    <w:p>
      <w:r>
        <w:t>- 19 - décision de l’intimée du 1er juillet 2019 par laquelle elle a mis fin au versement des indemnités journalières avec effet au 3 juin 2019. En outre, il a été informé du montant des indemnités journalières par communication du 22 décembre 2017. Or,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par un acte administratif susceptible de recours (ATF 134 V 145 consid. 5.3 ; 129 V 110 consid. 1.2.2). En matière d’indemnités journalières, la jurisprudence du Tribunal fédéral a fixé le délai d’examen et de réflexion convenable à 3 mois ou 90 jours à compter de la communication d’un décompte d’indemnités journalières (TF 8C_340/2018 du 16 mai 2019 consid. 4.2). La contestation du recourant du montant de ses indemnités journalières est donc manifestement tardive. c) Les modifications introduites par la novelle du 25 septembre 2015, entrée en vigueur le 1er janvier 2017 et modifiant diverses dispositions de la LAA, sont applicables au cas d'espèce, vu la date de l’accident assuré (cf. ch. 1 des dispositions transitoires relatives à cette modification [RO 2016 4388]). 3. a) Le recourant reproche à l’intimée d’avoir rendu la décision dont est recours avant d’avoir reçu les pièces qu’il entendait produire pour prouver que ses revenus avant l’accident étaient largement supérieurs au revenu sans invalidité retenu pour calculer le degré d’invalidité. Il fait valoir à cet égard une violation de son droit d’être entendu. b)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w:t>
      </w:r>
    </w:p>
    <w:p>
      <w:r>
        <w:t>- 20 -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l’espèce, on ne voit pas en quoi l’intimée aurait violé le droit d’être entendu du recourant en statuant sur son opposition le 17 avril 2020, soit avant que celui-ci ait produit les pièces qu’il avait annoncées dans son complément d’opposition du 31 janvier 2020. En effet, force est de constater que le recourant, respectivement la société qui l’employait et dont il est l’unique associé gérant, disposait des services d’une fiduciaire et qu’il lui était par conséquent aisé de produire tout document attestant ses revenus avant l’accident dans un délai relativement court. Or, il s’est passé près de trois mois entre l’annonce de la production des pièces annoncées et le moment où l’intimée a rendu sa décision sur opposition.</w:t>
      </w:r>
    </w:p>
    <w:p>
      <w:r>
        <w:t>- 21 - Au demeurant, la Cour de céans relève que le recourant n’a pas produit de pièces attestant des revenus plus élevés que ceux retenus par l’intimée dans le cadre de la présente procédure de recours. Le grief de violation du droit d’être entendu tombe donc à faux.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w:t>
      </w:r>
    </w:p>
    <w:p>
      <w:r>
        <w:t>- 22 -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5. a) Selon le principe de la libre appréciation des preuves (art. 61 let. c LPGA),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134 V 231 consid. 5.1 ; 125 V 351 consid. 3a ; TF 8C_75/2017 du 24 octobre 2017 consid. 3.4). Il n’est au demeurant pas lié par les faits constatés dans la décision litigieuse (Jean Métral, in Dupont/Moser-Szeless [édit.], Loi sur la partie générale des assurances sociales, Commentaire romand, 2018, n. 63 ad art. 61 LPGA).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D’après la jurisprudence, le juge peut accorder valeur probante aux rapports et expertises établis par les médecins des assurances aussi longtemps que ceux-ci aboutissent à des résultats convaincants, que leurs conclusions sont sérieusement motivées, que ces</w:t>
      </w:r>
    </w:p>
    <w:p>
      <w:r>
        <w:t>- 23 -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6. a) En ce qui concerne l’évaluation de la capacité de travail du recourant, l'intimée estime que l'examen final de son médecin d'arrondissement du 6 juin 2019, au terme duquel la Dre X.________ a retenu une capacité totale de travail dans une activité adaptée aux limitations fonctionnelles, repose sur une connaissance complète du dossier médical et que ses conclusions, objectives et motivées, sont convaincantes et ont ainsi pleine valeur probante. Pour sa part, le recourant conteste le point de vue de l’intimée, en tant qu’il se base sur l’évaluation médicale de la Dre X.________, en faisant valoir que celle-ci n’a aucune compétence ni légitimité pour écarter les rapports de ses médecins traitants, les Drs N.________ et S.________ figurant au dossier qui, selon lui, attestent une incapacité de travail de 50 %. Le grief du recourant tiré de l’absence de compétence et de légitimité du médecin d’arrondissement de l’intimée qui a procédé à l’évaluation de sa capacité de travail est sans pertinence pour juger de la valeur probante de son appréciation. En effet, selon une jurisprudence constante, les médecins d'arrondissement ainsi que les spécialistes du</w:t>
      </w:r>
    </w:p>
    <w:p>
      <w:r>
        <w:t>- 24 - centre de compétence de la médecine des assurances de la CNA sont considérés, de par leur fonction et leur position professionnelle, comme étant des spécialistes en matière de traumatologie, indépendamment de leur spécialisation médicale (arrêts 8C_108/2020 du 22 décembre 2020 consid. 4.4.2 ; 8C_59/2020 du 14 avril 2020 consid. 5.2 ; 8C_316/2019 consid. 5.4 du 24 octobre 2019 et les arrêts cités). b) Le recourant soutient encore que les conclusions à tirer des rapports de ses médecins traitants quant à sa capacité de travail résiduelle sont en contradiction avec l’appréciation du médecin d’arrondissement, qui serait de ce fait sans valeur probante. En l’espèce, l’appréciation finale de la Dre X.________ du 6 juin 2019 tient compte de l’ensemble des pièces médicales versées au dossier, repose sur l’examen clinique auquel elle avait procédé le 13 février précédent, tient compte des plaintes du recourant ainsi que des récents avis médicaux de ses médecins traitants (rapports de la Dre N.________ du 15 février 2019 et du Dr S.________ du 3 juin 2019) selon lesquels la situation était stabilisée sur le plan médical, aucune intervention chirurgicale ne pouvant plus l’améliorer. C’est sur cette base que le médecin d’arrondissement de la CNA a conclu que le recourant avait recouvré une pleine capacité de travail dans une activité adaptée aux limitations fonctionnelles qu’elle avait déterminées dans son appréciation du 22 mai 2019, à savoir : pas d’activité répétée avec la main et le poignet gauches, pas d’activité lourde avec le membre supérieur gauche et pas de port de charge supérieur à 20 kg. Motivées de façon convaincante, les conclusions de l’appréciation du 6 juin 2019 de la Dre X.________ ont pleine valeur probante au sens de la jurisprudence. Contrairement à ce que soutient le recourant, les constatations et les conclusions du médecin d’arrondissement de la CNA ne sont pas en contradiction avec celles de ses médecins traitants. D’une part, leurs constatations en termes de force et de mobilité du poignet gauche sont superposables avec celles de la Dre X.________. D’autre part, tous deux considèrent que la situation est stabilisée d’un point de vue médical et</w:t>
      </w:r>
    </w:p>
    <w:p>
      <w:r>
        <w:t>- 25 - qu’aucune intervention n’est susceptible d’améliorer la mobilité et la force du poignet gauche. Enfin, dans son rapport du 14 février 2019 à l’attention de l’OAI, la Dre N.________ a retenu les limitations fonctionnelles suivantes : pas d’effort prolongé du poignet, pas de port de charges supérieur à 10 - 15 kg. Dans l’activité habituelle de marchand de voiture, elle estimait déjà que la capacité de travail du recourant était de 50 % mais que, dans une activité adaptée à ses limitations fonctionnelles, elle était de 100 %. Cela étant, force est de considérer que l’appréciation médicale de la Dre N.________ corrobore celle de la Dre X.________ en ce qui concerne les limitations fonctionnelles et la capacité de travail résiduelle du recourant. Pour sa part, le Dr S.________ ne s’est pas prononcé sur les questions des limitations fonctionnelles et de la capacité de travail du recourant dans une activité adaptée à celles-ci. Il a seulement attesté à l’époque que l’activité habituelle de marchand de voitures, qui comporte une partie de travail manuel, ne pouvait pas être exercée à 100 % mais seulement à 50 %. Ce n’est que dans le rapport qu’il a établi le 11 janvier 2021 à l’attention de l’OAI que le Dr S.________ s’est prononcé sur les questions des limitations fonctionnelles et de la capacité de travail du recourant dans une activité adaptée. Outre le fait que cette évaluation intervient près d’une année après que l’intimée a rendu sa décision sur opposition et qu’elle ne saurait par conséquent être prise en compte dans le cadre de la présente procédure de recours, le juge des assurances sociales devant se prononcer sur l’état de fait existant au moment de la clôture administrative du dossier, force est de constater que le Dr S.________ tend à rejoindre l’avis de la Dre X.________ quant à la capacité de travail résiduelle du recourant, puisqu’il estime que, dans son activité habituelle de marchant de voiture, celui-ci peut travailler selon un horaire normal pour autant qu’il ne porte pas des charges supérieures à 5 kg et que, dans une activité adaptée à ses limitations fonctionnelles, il peut travailler selon un horaire normal. Par ailleurs, le recourant tombe à faux lorsqu’il critique la décision dont est recours qui, selon lui, retiendrait une pleine capacité de travail dans son activité habituelle de marchand de voiture. S’il est vrai que la Dre X.________ avait retenu cette possibilité dans son évaluation du</w:t>
      </w:r>
    </w:p>
    <w:p>
      <w:r>
        <w:t>- 26 -</w:t>
      </w:r>
    </w:p>
    <w:p>
      <w:r>
        <w:rPr>
          <w:b/>
        </w:rPr>
        <w:t>E. 22</w:t>
      </w:r>
    </w:p>
    <w:p>
      <w:r>
        <w:t>mai 2019, elle l’a toutefois écartée après avoir pris connaissance de l’avis médical du Dr S.________ du 3 juin 2019. Enfin, les critiques du recourant quant à la supposée instruction lacunaire de l’intimée doivent également être écartées. La Dre X.________ a en effet expliqué dans son appréciation du 6 juin 2019 qu’elle renonçait à demander un second avis médical au Dr R.________, d’une part en raison du manque de collaboration du recourant, d’autre part en raison de l’avis médical récent du Dr S.________ du 3 juin 2019. Or, il ressort clairement du dossier que le recourant a peiné à collaborer avec l’intimée, puisqu’il ne s’est pas présenté à trois consultations médicales, dont une programmée chez le Dr R.________, sous divers prétextes et que, s’agissant d’une éventuelle évaluation médicale à la CRR, il l’a conditionnée au fait qu’elle ne se fasse pas sur un mode stationnaire, eu égard, selon ses différentes explications, au fait qu’il peine à dormir en dehors de chez lui ou à sa situation familiale. Par ailleurs, aucun des médecins traitants du recourant n’a évoqué la nécessité d’une évaluation médicale par la CRR. c) Au vu de ce qui précède, il y a lieu de considérer que la capacité de travail du recourant est, depuis le mois de juin 2019, entière dans une activité adaptée aux limitations fonctionnelles décrites dans le rapport de la Dre X.________ du 22 mai 2019. 7. Reste à examiner le degré d’invalidité présenté par le recourant, compte tenu de sa capacité totale de travail dans une activité adaptée à ses limitations fonctionnelles.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w:t>
      </w:r>
    </w:p>
    <w:p>
      <w:r>
        <w:t>- 27 - La comparaison des revenus s’effectue, en règle générale, en chiffrant aussi exactement que possible les montants de ces deux revenus et en les confrontant l’un avec l’autre, la différence permettant de calculer le taux d’invalidité (ATF 137 V 334 consid. 3.1.1 ; TF 8C_643/2016 du</w:t>
      </w:r>
    </w:p>
    <w:p>
      <w:r>
        <w:rPr>
          <w:b/>
        </w:rPr>
        <w:t>E. 25</w:t>
      </w:r>
    </w:p>
    <w:p>
      <w:r>
        <w:t>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w:t>
      </w:r>
    </w:p>
    <w:p>
      <w:r>
        <w:t>- 28 -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 En l’espèce, le recourant réfute le revenu sans invalidité retenu par l’intimée, prétendant qu’il est largement supérieur. Il n’a toutefois produit aucune pièce corroborant son allégation. Cela étant, dès lors que l’intimée s’est fondée sur les revenus soumis à cotisation durant les années 2016 et 2017 tels qu’ils ressortent de l’extrait du compte individuel AVS du recourant, il y a lieu de reconnaître qu’elle a évalué le revenu sans invalidité le plus concrètement possible, comme l’exige la jurisprudence. Au demeurant, c’est un salaire de 48'000 fr. qui est indiqué sur la déclaration d’accident. Ainsi, le revenu sans invalidité tel que retenu par l’intimée, soit 50'000 fr., est correct. Pour le surplus, l’intimée a justement calculé le revenu sans invalidité, en se fondant sur les données salariales telles qu’elles ressortent de l’ESS, ce qu’elle était légitimée à faire, le recourant ne mettant pas pleinement en valeur sa capacité résiduelle de travail. La comparaison des revenus, exempte de critique, mène à la constatation que le recourant ne subit pas de perte de sa capacité de gain.</w:t>
      </w:r>
    </w:p>
    <w:p>
      <w:r>
        <w:t>- 29 - La décision sur opposition est ainsi bien fondée en ce qui concerne le droit à une rente d'invalidité, qui doit être nié. 8. a) Le recourant reproche également à l'intimée une estimation incorrecte de l’indemnité pour atteinte à l’intégrité (15 %) à laquelle il a droit, sans autre précision quant au pourcentage. Il n’a produit aucune pièce médicale à ce sujet. b) Aux termes de l'art. 24 al. 1 LAA, si, par suite de l'accident, l'assuré souffre d'une atteinte importante et durable à son intégrité physique, mentale ou psychique, il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w:t>
      </w:r>
    </w:p>
    <w:p>
      <w:r>
        <w:t>- 30 - exclusivement fixée en fonction de facteurs médicaux objectifs, valables pour tous les assurés, et sans égard à des considérations d'ordre subjectif ou personnel (FRESARD/MOSER-SZELESS, L’assurance-accidents obligatoire, in : Schweizerisches Bundesverwaltungsrecht, Soziale Sicherheit [SBVR] vol. XIV, 3ème éd., Bâle 2016, p. 998 n. 311). Cela signifie que pour tous les assurés présentant un status médical identique, l'atteinte à l'intégrité est la même (ATF 133 V 224 consid. 5.1 ; ATF 115 V 147 consid. 1 ; ATF 113 V 218 consid. 4b ; TF 8C_812/2010 du 2 mai 2010 consid. 5.2). Une atteinte à l'intégrité au sens de l'art. 24 al. 1 LAA consiste généralement en un déficit corporel – anatomique ou fonctionnel –,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citées).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(ATF 124 V 29 consid. 1b ; ATF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w:t>
      </w:r>
    </w:p>
    <w:p>
      <w:r>
        <w:t>- 31 - tables d'indemnisation. Ces tables n'ont pas valeur de règle de droit et ne sauraient lier le juge. Dans la mesure, toutefois, où il s'agit de valeurs indicatives destinées à assurer autant que faire se peut l'égalité de traitement entre les assurés, elles sont compatibles avec l'annexe 3 à l'OLAA (ATF 124 V 209 consid. 4a/cc ; ATF 116 V 156 consid. 3a ; RAMA 1998 n° U 296 p. 235, U 145/96 consid. 2a). c) En l'espèce, dans son rapport du 9 septembre 2019, la Dre X.________ – seul médecin à s’être prononcé sur la question – a retenu qu'en présence d'une grave arthrose radio-carpienne, qui correspond par analogie à une arthrodèse du poignet gauche, un taux d'indemnisation de 15 % pouvait être retenu. Pour ce faire, elle s’est basée sur les conclusions du rapport du 3 septembre 2019 du Prof M.________ qui concluait à l’existence d’une grave arthrose radio-carpienne. Pour le calcul du taux de l’IPAI en résultant, la Dre X.________ s’est référée à la table 3 du barème d’indemnisation éditée par la CNA (table n° 2870/5.f). Le recourant étant droitier, l'appréciation de la Dre X.________ échappe à la critique, quoi qu'en dise l'assuré, ce d'autant qu'elle n'est contredite par aucun autre médecin. 9. Le droit d’être entendu garanti par l’art. 29 al. 2 Cst. comprend notamment le droit pour l’intéressé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l'espèce, la Cour de céans ayant été en mesure de statuer sur la base des éléments médicaux figurant au dossier, la requête tendant à la mise en œuvre d’une expertise orthopédique du recourant s'avère inutile et doit être rejetée.</w:t>
      </w:r>
    </w:p>
    <w:p>
      <w:r>
        <w:t>- 32 - 10. a) En conclusion, le recours doit être rejeté et la décision attaquée confirmée. b) Il n’y a pas lieu de percevoir de frais judiciaires, la procédure étant gratuite (art. 61 let. fbis LPGA et art. 1 LAA). c) Le recourant, qui n’obtient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