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ZA20.019178 vom 25. März 2021</w:t>
      </w:r>
    </w:p>
    <w:p>
      <w:r>
        <w:t>VD Tribunal cantonal, 2021-03-25, FR</w:t>
      </w:r>
    </w:p>
    <w:p>
      <w:r>
        <w:rPr>
          <w:b/>
        </w:rPr>
        <w:t xml:space="preserve">Quelle: </w:t>
      </w:r>
      <w:r>
        <w:t>https://mcp.opencaselaw.ch/entscheid/vd_gerichte_ZA20.019178</w:t>
      </w:r>
    </w:p>
    <w:p>
      <w:r>
        <w:t>FR: VD_GERICHTE ZA20.019178 du 25 mars 2021</w:t>
      </w:r>
    </w:p>
    <w:p>
      <w:r>
        <w:t>IT: VD_GERICHTE ZA20.019178 del 25 marzo 2021</w:t>
      </w:r>
    </w:p>
    <w:p>
      <w:pPr>
        <w:pStyle w:val="Heading2"/>
      </w:pPr>
      <w:r>
        <w:t>Erwägungen</w:t>
      </w:r>
    </w:p>
    <w:p>
      <w:r>
        <w:rPr>
          <w:b/>
        </w:rPr>
        <w:t>E. 50</w:t>
      </w:r>
    </w:p>
    <w:p>
      <w:r>
        <w:t>%, laquelle équivalait à une somme de 59'280 fr., compte tenu de la réduction de 20 % à appliquer sur les prestations en espèce conformément à la décision du 30 janvier 2017. La CNA a, entre autres, indiqué qu'il ressortait de ses investigations, notamment sur le plan médical, que l'assuré était à même d'exercer une activité légère dans différents secteurs de l'industrie, à la condition de ne pas devoir mettre à forte contribution son bras droit. Le 9 mars 2020, l’assuré, représenté par son conseil, s’est opposé à la décision du 6 février précédent. Il a, en substance, contesté le degré d’invalidité retenu par la CNA, dans la mesure où aucune expertise pluridisciplinaire n’avait été mise en œuvre afin de déterminer sa capacité de gain résiduelle et ses limitations fonctionnelles. En outre, il a exposé qu’en sus de ses souffrances somatiques, des atteintes psychiques avaient été déclenchées par l’accident, particulièrement un stress post- traumatique, lesquelles n’avaient fait l’objet d’aucune mesure d’instruction. Une expertise devait être ordonnée pour palier à cette absence. En revanche, l’assuré n’a pas remis en cause l’indemnité pour atteinte à l’intégrité physique. Par décision sur opposition du 3 avril 2020, la CNA a rejeté l’opposition. Elle a d’abord considéré que l’événement du 27 septembre 2016 devait être qualifié d’accident de gravité moyenne, sans atteindre un degré proche d’un accident grave. Cela étant, les critères topiques de la jurisprudence en matière d’affections psychiques n’étaient pas réunis dans leur large majorité. En particulier, si l’atteinte à la santé physique avait effectivement présenté une certaine gravité, le pronostic vital, en revanche, n’avait jamais été engagé et l’assuré avait même refusé certains traitements qui lui avaient été proposés, désirant surmonter lui- même son handicap. Dès lors, un lien de causalité adéquate entre l’accident et les troubles psychologiques évoqués par l’assuré n’était pas établi, sans que des mesures d’instruction supplémentaires ne soient nécessaires. La responsabilité de la CNA ne pouvait, dès lors, pas être</w:t>
      </w:r>
    </w:p>
    <w:p>
      <w:r>
        <w:t>- 12 - engagée pour les troubles de la sphère psychique. S’agissant ensuite du taux d’invalidité, la CNA a indiqué que l’assuré avait démontré pouvoir faire face à différentes situations de l’existence, de sorte qu’il fallait convenir qu’il était encore apte à exercer à plein temps une activité légère dans différents secteurs de l’industrie, à condition de ne pas mettre fortement à contribution son bras droit. La CNA a arrêté le revenu sans invalidité à 46'832 fr., sur la base de la moyenne annuelle des revenus ressortant de l’extrait du compte individuel AVS. Quant au gain avec invalidité, elle s’est référée aux données statistiques de l’Enquête suisse sur la structure des salaires (ESS) 2016, se reportant à la table A1 dans le secteur privé, total des branches économiques, niveau de compétence 1 (tâches physiques ou manuelles simples) et a consenti à un abattement supplémentaire de 15 % pour tenir compte des limitations fonctionnelles du recourant, tout en précisant que même en appliquant le taux maximal de 25 %, cela n’aurait aucune influence sur le degré d’invalidité et le droit aux prestations. Après comparaison entre le revenu sans invalidité de 46'832 fr. et le gain avec invalidité de 57'582 fr., il apparaissait qu’il n’y avait pas de perte de gain, de sorte que le refus de l’octroi d’une rente d’invalidité s’avérait fondé. B. Par acte du 19 mai 2020, S.________, toujours dûment représenté par son conseil, a recouru auprès de la Cour des assurances sociales du Tribunal cantonal à l’encontre de la décision sur opposition susmentionnée. Il a conclu, à titre provisionnel, à ce que le recours soit assorti de l’effet suspensif, et, à titre principal, à ce que la décision sur opposition litigieuse soit réformée – bien qu’il en ait incorrectement requis l’annulation –, en ce sens de l’octroi d’une rente d’invalidité dès le 11 avril 2019, d’une indemnité équitable pour atteinte à son intégrité mentale et psychique, et d’une indemnité pour impotent, ainsi que, à titre subsidiaire, à son annulation avec renvoi à l’intimée pour complément d’instruction, sous la forme de la mise en œuvre d’une expertise pluridisciplinaire, puis nouvelle décision dans le sens des considérants. Le recourant a également requis qu’il soit procédé à son audition et à des débats publics. En substance, il s’est prévalu de la violation du principe du droit à la preuve et de la maxime inquisitoire, étant donné l’absence d’expertise</w:t>
      </w:r>
    </w:p>
    <w:p>
      <w:r>
        <w:t>- 13 - pluridisciplinaire comportant un volet de médecine psychiatrique. Par ailleurs, l’intimée avait établi son degré d’invalidité de manière incorrecte. Afin d’appuyer ses arguments, le recourant a produit de nouvelles pièces avec son recours : - Un arrêt du Tribunal fédéral du 29 janvier 2019, lequel confirmait l’expulsion du territoire suisse du recourant. Ce dernier avait en effet été condamné, par jugement du 2 octobre 2018 de la Cour d’appel pénale du Tribunal cantonal du canton de Vaud, à une peine privative de liberté de 34 mois et à une amende de 600 fr., pour tentative de brigandage qualifié et contravention à la LStup (loi fédérale du 3 octobre 1951 sur les stupéfiants et les substances psychotropes ; RS 812.121). Au vu des infractions commises, la Cour d’appel pénale avait ordonné l’expulsion du prévenu pour une durée de dix ans ; - Un sauf-conduit établi le 14 mai 2020 par le Tribunal d’arrondissement de [...] en faveur du recourant, l’autorisant à pénétrer sur le territoire suisse du 26 au 28 mai 2020 pour les besoins d’une procédure pendante de mesures protectrices de l’union conjugale l’opposant à son épouse ; - Un rapport du 18 mai 2020 du Dr O.________, spécialiste en psychiatrie et psychothérapie, lequel avait diagnostiqué un état de stress post-traumatique chronique (Classification internationale des maladies [CIM] 10 F43.1) et un trouble dépressif récurrent, épisode le plus récent sévère sans symptômes psychotiques (CIM 10 F33.2), et avait indiqué que le recourant présentait une incapacité de travail de 100 % de durée indéterminée avec des limitations fonctionnelles sévères, ceci même dans une activité adaptée. Par ailleurs, le pronostic était défavorable, en raison de la chronification de l'état de stress post-traumatique aigu. Il n'était, de même, pas exclu que le recourant développe un trouble de la personnalité, à savoir une modification durable de la personnalité suite à une expérience de catastrophe. Dans sa réponse du 7 juillet 2020, l’intimée a conclu au rejet du recours. En substance, elle a indiqué qu’au vu des circonstances de</w:t>
      </w:r>
    </w:p>
    <w:p>
      <w:r>
        <w:t>- 14 - l’accident du 27 septembre 2016 – qui ne pouvait être qualifié de grave, tel qu’allégué par le recourant – et des critères dégagés par la jurisprudence en matière d’affections de nature psychique, un lien de causalité adéquat pouvait être d’emblée écarté. Il n’était dès lors pas nécessaire de déterminer s’il existait un lien de causalité naturelle ou de procéder à des mesures d’instruction complémentaires. Par réplique du 15 juillet 2020, le recourant a confirmé ses conclusions, et indiqué que l’octroi d’une allocation pour impotent devait avoir lieu d’office. Le 24 août 2020, l’intimée a dupliqué, rappelant que le droit à l’allocation pour impotent ne faisait pas partie de l’objet de la contestation définie par la décision sur opposition attaquée. Par ordonnance du 24 septembre 2020, la juge instructrice a rejeté la requête d’octroi de l’effet suspensif du recourant, laquelle avait été assimilée à une demande de mesure provisionnelle tendant à l’octroi des prestations litigieuses pour la durée de la procédure.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recours a été interjeté en temps utile compte tenu de l'ordonnance du 20 mars 2020 sur la suspension des délais dans les procédures civiles et administratives pour assurer le maintien de la justice en lien avec le coronavirus (COVID-19 ; RS</w:t>
      </w:r>
    </w:p>
    <w:p>
      <w:r>
        <w:t>- 15 - 173.110.4 ; abrogée au 19 avril 2020), en rapport avec les art. 38 al. 4 let. a et 60 al. 1 LPGA. Conformément à l’art. 58 al. 2 LPGA, si l’assuré est domicilié à l’étranger, le tribunal des assurances compétent est celui du canton de son dernier domicile en Suisse ou celui du canton de domicile de son dernier employeur suisse ; si aucun de ces domiciles ne peut être déterminé, le tribunal des assurances compétent est celui du canton où l’organe d’exécution a son siège. En l’espèce, il est constant que le dernier domicile du recourant, avant son expulsion du territoire helvétique, se situait dans le canton de Vaud, à [...]. Ainsi, la Cour de céans est compétente ratione loci et materiae (art. 93 let. a LPA-VD [loi cantonale vaudoise du 28 octobre 2008 sur la procédure administrative ; BLV 173.36]). Le recours respecte, en outre, les autres conditions formelles prévues par la loi (art. 61 let. b LPGA notamment),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présente litige porte sur le droit à une rente d’invalidité de l’assurance-accidents.</w:t>
      </w:r>
    </w:p>
    <w:p>
      <w:r>
        <w:t>- 16 - Le recourant a également conclu, d’une part, à l’octroi d’une indemnité pour atteinte à l’intégrité psychique (IPAI), au sens de l’art. 24 LAA, et, d’autre part, à l'octroi d’une allocation pour impotent, en application de l’art. 26 LAA. C’est le lieu de rappeler que dans son opposition du 9 mars 2020, le recourant a expressément indiqué que l’indemnité pour atteinte à l’intégrité physique, telle que prononcée dans la décision initiale du 6 février 2020, n’était pas remise en cause. Sur cette base, la décision sur opposition querellée se prononce uniquement sur la question du refus de rente d’invalidité, bien qu'elle indique de manière erronée que seule la question de l'IPAI est contestée par le recourant. Ainsi, en application de la jurisprudence susmentionnée (cf. consid. 2a supra), les conclusions s’agissant de l’IPAI et de l’allocation pour impotent sont irrecevables, car allant au-delà de l'objet de la contestation. A toutes fins utiles, on indique que, même si la demande relative à l’octroi d’une IPAI de 100 % avait été considérée comme étant recevable, elle aurait de toute manière été rejetée, dans la mesure où, tel que cela sera développé ci-dessous (cf. consid. 4 infra), les atteintes à la santé psychique du recourant ne relèvent pas de la responsabilité de l’intimée. De même, s’agissant d’une éventuelle allocation pour impotent, rien n’empêche l’intéressé de déposer une nouvelle demande en ce sens auprès de l’intimée, laquelle ne s’est pas encore prononcée sur l’octroi ou le refus de cette prestation. 3. En l’occurrence, le recourant fait valoir, dans un moyen principal, avoir requis, dans son acte d’opposition du 9 mars 2020, la mise en œuvre d’une expertise pluridisciplinaire avec un volet psychiatrique. En ne donnant pas suite à cette offre de preuve pertinente, l’intimée a procédé à une appréciation anticipée erronée du moyen de preuve, et ainsi violé son obligation d’instruire, conformément à l’art. 43 al. 1 LPGA. D’après le recourant, son atteinte psychique est en lien de causalité naturelle et adéquate avec l’événement du 27 septembre 2016, lequel correspondait à un accident grave au vu de la perte totale de l’usage de son bras droit. Ce trouble psychiatrique aurait ainsi dû être pris en compte dans la détermination du taux d’invalidité.</w:t>
      </w:r>
    </w:p>
    <w:p>
      <w:r>
        <w:t>- 17 - a) Le 1er janvier 2017 est entrée en vigueur la modification du 25 septembre 2015 de la LAA. Dans la mesure où l'accident du 27 septembre 2016 est survenu avant cette date, le droit du recourant aux prestations d'assurance est soumis à l'ancien droit (ch. 1 des dispositions transitoires relatives à cette modification [RO 2016 4388] ; TF 8C_662/2016 du 23 mai 2017 consid. 2.2). Les dispositions légales seront citées ci-après dans leur teneur en vigueur jusqu’au 31 décembre 2016. b)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- 18 - d/aa)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w:t>
      </w:r>
    </w:p>
    <w:p>
      <w:r>
        <w:t>- 19 -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 stricto sensu », il faut un cumul de trois critères sur les sept ou au moins que l’un des critères retenus se soit manifesté de manière particulièrement marquante (TF 8C_493/2017 du 10 juillet 2018 consid. 2.2 et les références citées). En revanche, pour qu'un accident de gravité moyenne « à la limite inférieure » soit admis, il faut que les critères objectifs posés par la jurisprudence en la matière se cumulent ou revêtent une intensité particulière (ATF 129 V 402 consid. 4.4.1 ; 129 V 177 consid. 4.1 ; 115 V 133 consid. 6c/aa et 403 consid. 5c/aa). En présence d'un événement accidentel à la limite des cas graves, un seul critère parmi ceux déterminants peut être suffisant (ATF 115 V 133 consid. 6 c/bb ; 115 V 403 consid. 5 c/bb). cc) Par ailleurs, il est admis de laisser ouverte la question de la causalité naturelle d'éventuels troubles psychiques dans les cas où ce lien de causalité ne peut de toute façon pas être qualifié d'adéquat (ATF 135 V</w:t>
      </w:r>
    </w:p>
    <w:p>
      <w:r>
        <w:t>- 20 - 465 consid. 5.1 ; TF 8C_77/2009 du 4 juin 2009 consid. 4 ; TF 8C 746/2008 du 17 août 2009 consid. 5 et les références). 4. a) En l’occurrence, on remarque, à titre liminaire, que le recourant s’est plaint pour la première fois de troubles psychologiques à l’appui de son opposition du 9 mars 2020. Avant cette date, il avait, à réitérées reprises, indiqué se sentir bien moralement et ne pas souhaiter bénéficier d’un suivi psychiatrique (cf. rapport du 23 janvier 2017 des médecins de la Clinique B.________, du 24 janvier 2017 du Dr C.________, du compte-rendu d’entretien du 9 mars 2017 de la collaboratrice de la CNA et du rapport du 4 juillet 2017 de la collaboratrice d’U.________). La seule exception concerne l’entretien téléphonique du 15 octobre 2018 au cours duquel l’épouse du recourant a indiqué que son mari « n'était vraiment pas bien psychologiquement et physiquement » (cf. compte-rendu d’un entretien téléphonique du 15 octobre 2018 de la collaboratrice de la CNA). De plus, c’est à l’appui du présent recours que l’intéressé a produit, pour la première fois également, un rapport de son psychiatre, le Dr O.________, lequel diagnostiquait un état de stress post-traumatique chronique (CIM 10 F43.1) et un trouble dépressif récurrent, épisode le plus récent sévère sans symptômes psychotiques (CIM 10 F33.2). Cela étant, ce rapport s’avère imprécis, ne communiquant en particulier aucune date de début et de fin de traitement. On relèvera également que ce document a été établi dix mois après l’expulsion du recourant (cf. rapport du 18 mai 2020). b) Au vu du rapport de police du 30 septembre 2016, de l’ordonnance pénale du 2 octobre 2016 du Ministère public et du rapport du 23 janvier 2017 des médecins de la Clinique B.________, on retiendra qu’en date du 27 septembre 2016, le recourant circulait en moto de nuit, en état d’ébriété et sous retrait de son permis d’élève conducteur, dans la ville de [...]. Alors que le recourant était inattentif, la roue avant de sa moto a heurté le bord gauche du dernier îlot central de la route sur laquelle il conduisait. L’intéressé a alors perdu la maîtrise de son véhicule, s’est déporté sur la droite de la chaussée et a percuté successivement une poutre, un arbre et un réverbère. Il a été projeté hors de sa moto et a atterri sur la chaussé. Son casque a été éjecté à cinq mètres. Le recourant</w:t>
      </w:r>
    </w:p>
    <w:p>
      <w:r>
        <w:t>- 21 - n’a, néanmoins, pas subi de perte de connaissance ou d’amnésie post- traumatique. Il a, finalement, été emmené à l’Hôpital V.________, avant d’être transféré au Centre L.________ pour prise en charge orthopédique. Le Tribunal fédéral a considéré que l'on se trouvait en présence d'un accident de gravité moyenne, à la limite des accidents de peu de gravité, s'agissant d'une chute à moto, à basse vitesse, et sans choc avec un autre véhicule (TF 8C_566/2013 du 18 août 2014 consid. 6.1 ; pour un exemple de chute à moto présentant des circonstances similaires et classé dans la catégorie inférieure des accidents de gravité moyenne, voir TF 8C_912/2009 du 26 février 2010 consid. 5.2). Si l'on se réfère à la casuistique des accidents impliquant des motocyclistes percutés par un véhicule automobile, les cas classés dans la catégorie des accidents de gravité moyenne « stricto sensu » ont en commun le choc d'un motocycliste roulant à une vitesse comprise entre 50 km/h et 70 km/h avec un automobiliste en train de bifurquer (TF 8C_99/2019 du 8 octobre 2019 consid. 4.4.1 et les références citées). Dans le cas d'une collision entre une moto qui remontait une file dans un virage à droite et un tracteur avec une remorque, le Tribunal fédéral a toutefois qualifié l'accident de gravité moyenne, à la limite des cas graves (TF 8C_99/2019 précité et la référence citée). De même, dans le cas d’une collision frontale entre une moto et une voiture, le Tribunal fédéral a également classé cet événement dans la catégorie des accidents de gravité moyenne, mais à la limite des accidents graves, dans la mesure où la moto, beaucoup plus légère, avait dû absorber la plus grande partie de la vitesse d'impact, avec le transfert de force correspondante (TF 8C_746/2008 du 17 août 2009 consid. 5.1.2). Tel a également été le cas, s’agissant d’un motocycliste ayant été projeté à une dizaine de mètres du point d'impact après avoir été percuté par un véhicule automobile (TF 8C_134/2015 du 14 septembre 2015 consid. 5.3.1), et d’une collision frontale violente (le conducteur de la voiture de livraison n'ayant pas freiné avant l'impact) entre un scooter et une camionnette (TF 8C_917/2010 du 28 septembre 2011 consid. 5.3).</w:t>
      </w:r>
    </w:p>
    <w:p>
      <w:r>
        <w:t>- 22 - En l’occurrence, il n’est fait référence à aucun moment à la vitesse à laquelle circulait le recourant. Si le rapport de police du 30 septembre 2016 expose que la moto se trouvait couchée sur le flanc gauche, dans la zone herbeuse longeant la rue [...], quelques sept mètres en amont, et que le casque du pilote se trouvait à cinq mètres en direction de la rue [...], à droite de la chaussée par rapport à son sens de marche, il n’indique pas la distance à laquelle le recourant a été projeté du dernier point d’impact, ni l’état dans lequel se trouvait sa moto après l’accident. En revanche, toute collision avec un autre véhicule automobile ou un piéton a été exclue. Au vu des circonstances du cas d’espèce et en comparaison aux autres cas de la jurisprudence impliquant des motocycles, c’est à juste titre que l’intimée a qualifié l’accident du 27 septembre 2016 de gravité moyenne « stricto sensu », et non à la limite supérieure, ou comme étant constitutif d’un accident grave. c) Il reste ainsi à déterminer si le recourant cumule trois critères sur les sept retenus par la jurisprudence ou, au moins, que l’un des critères retenus se soit manifesté de manière particulièrement marquante. aa) S’agissant des circonstances concomitantes particulièrement dramatiques ou du caractère particulièrement impressionnant de l'accident,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Il faut en effet observer qu'à tout accident de gravité moyenne est associé un certain caractère impressionnant, lequel ne suffit pas pour admettre l'existence du critère en question (TF 8C_96/2017 du 24 janvier 2018 consid. 5.1 ; TF 8C_1007/2012 du 11 décembre 2013 consid. 5.4.1). En l’occurrence, on ne saurait retenir que l’événement du 27 septembre 2016 remplisse ce critère, au vu de ses circonstances telles que décrites ci-dessus (cf. consid. 4b supra).</w:t>
      </w:r>
    </w:p>
    <w:p>
      <w:r>
        <w:t>- 23 - bb) S’agissant du critère de la gravité ou de la nature particulière des lésions physiques, le fait que des séquelles accidentelles imposent à un assuré de changer de profession est insuffisant pour retenir ce critère, qui implique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 TF 8C_566/2013 précité consid. 6.2.2 et les références citées). En l’occurrence, les lésions au bras droit du recourant sont effectivement importantes. Néanmoins et comme relevé par l’intimée, le pronostic vital n’a jamais été engagé. De même, l’intéressé n’a pas été amputé du bras ou de la main droits ou polytraumatisé, et ses organes vitaux n’ont pas été touchés. Ce critère ne peut dès lors être considéré comme rempli. cc) Pour l'examen du critère de la durée anormalement longue du traitement médical, il faut uniquement prendre en compte le traitement thérapeutique nécessaire (TFA U 369/05 du 23 novembre 2006 consid. 8.3.1). N'en font pas partie les mesures d'instruction médicale et les simples contrôles chez le médecin (TFA U 393/05 du 27 avril 2006 consid. 8.2.4). La prise de médicaments antalgiques et la prescription de traitements par manipulations même pendant une certaine durée ne suffisent pas à fonder ce critère (TF 8C_361/2007 du 6 décembre 2007 consid. 5.3 ; TFA U 380/04 du 15 mars 2004 consid. 5.2.4, in RAMA 2005 n° U 549 p. 239). De surcroît, s’agissant du critère des difficultés apparues au cours du traitement entrainant une aggravation notable des séquelles de l’accident, il doit exister des motifs particuliers ayant entravé la guérison, et ce même s'il n'a pas été possible de supprimer les douleurs de l'intéressé, ni même de rétablir une capacité de travail entière (TF 8C_612/2019 du 30 juin 2020 consid. 3.3.5 ; TF 8C_249/2018 du 12 mars 2019 consid. 5.2.5 ; TF 8C_196/2016 du 9 février 2017 consid. 5.4 et les références).</w:t>
      </w:r>
    </w:p>
    <w:p>
      <w:r>
        <w:t>- 24 - En l’espèce, ces deux derniers critères ne sont pas remplis. Même si l’opération de greffe nerveuse du 23 mars 2017 n’a pas conduit aux résultats escomptés et que des douleurs persistent encore, il n’en demeure pas moins que le processus de rémission s’est déroulé comme prévu et que la durée du traitement était normale. A cet égard, le Dr W.________ a indiqué, dans son rapport du 12 avril 2017, que les lésions du plexus brachial étaient très longues à traiter, qu’il fallait généralement attendre deux ans après l’opération pour parvenir à une stabilisation médicale et que celle-ci s’accompagnait, en principe, de lourdes séquelles fonctionnelles. C’est dans son rapport du 14 avril 2019, soit environ deux ans après l’opération, que le Dr C.________ a considéré l’état du recourant comme stabilisé, et constaté que la seule fonction potentiellement utile de la réanimation nerveuse était la pince brachio-thoracique. Il n’a, au demeurant, pas fait état de complications particulières. Ces dernières indications confirment dès lors les renseignements fournis le 12 avril 2017 par le Dr W.________, et le fait que le traitement n’a pas été entravé et a eu une durée normale. Par ailleurs, le recourant avait été informé des chances de succès relatives de l’intervention (cf. compte-rendu d’entretien du 9 mars 2017). Enfin, le recourant a refusé plusieurs moyens thérapeutiques proposés, tels que la prise d’antalgiques et un suivi psychiatrique (cf. rapport du 24 janvier 2017 du Dr C.________), ainsi qu’un suivi d’ergothérapie, une prise en charge par une psychologue pour apprendre des stratégies de relaxation face à la douleur et des moyens auxiliaires (cf. rapport du 23 janvier 2017 des médecins de la Clinique B.________). dd) Il n’y a, au demeurant, pas eu d’erreur dans le traitement médical ayant entraîné une aggravation notable des séquelles de l’accident. ee) En ce qui concerne la persistance des douleurs, il n'est pas possible de retenir que ce critère est rempli lorsqu'un facteur psychogène a joué un rôle prépondérant (ATF 134 V 109 consid. 9.5 ; 127 V 102 consid. 5b/bb et les références ; 115 V 133 consid. 6c/aa et 403 consid.</w:t>
      </w:r>
    </w:p>
    <w:p>
      <w:r>
        <w:t>- 25 - 5c/aa). En l’espèce, le Dr C.________ explique, dans son rapport du 15 avril 2019, que le recourant souffre encore actuellement de douleurs neuropathiques sévères, dues aux avulsions radiculaires cervicales droites multiples et rebelles aux antalgiques. N’entre donc pas en considération un facteur psychogène. C’est, par ailleurs, par ses seules forces psychiques que le recourant parvient à gérer et accepter ses douleurs. Il faut donc reconnaître que le critère de la persistance des douleurs est, en l’espèce, rempli. ff) S’agissant du critère du degré et de la durée de l'incapacité de travail, il doit également se rapporter aux seules lésions physiques (ATF 134 V 109 précité ; 127 V 102 précité ; 115 V 133 précité). Le rapport du 18 mai 2020 du Dr O.________, lequel retient une incapacité de travail de 100 % de durée indéterminée en raison de la chronification de l’état de stress post-traumatique (lequel pourrait se développer en trouble de la personnalité), ne saurait dès lors être pris en compte pour apprécier ce critère. Pour ce qui est du degré et de la durée de l’incapacité de travail liés aux troubles somatiques, il n’est pas possible pour la Cour de céans de se déterminer en l’état du dossier. Comme cela sera développé ci-dessous (cf. consid. 8 infra), le degré actuel de l’incapacité de travail, causée par l’accident, n’a pas été établi à satisfaction par l’intimée. Néanmoins, cette question peut être laissée ouverte, dans la mesure où, même si ce dernier critère devait être rempli, il ne suffirait pas à retenir l’existence d’un lien de causalité adéquate entre les éventuelles affections psychiques du recourant et l’accident du 27 septembre 2016. En effet, sur les sept critères reconnus par la jurisprudence, le recourant n’en rempli assurément qu’un seul, à savoir la persistance des douleurs. Dans tous les cas, il ne parviendrait ainsi pas au cumul nécessaire de trois critères. d) Par conséquent, c’est à juste titre que l’intimée n’a pas reconnu l’existence d’un lien de causalité adéquate. L’examen du lien de causalité naturelle était, partant, inutile. On ne saurait ainsi faire droit au grief du recourant, selon lequel l’intimée aurait violé le principe</w:t>
      </w:r>
    </w:p>
    <w:p>
      <w:r>
        <w:t>- 26 - inquisitoire en s'abstenant de mettre en œuvre une expertise médicale s’agissant des atteintes psychologiques alléguées. 5. Il convient encore d’examiner le revenu sans invalidité fixé par l’intimée.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Pour procéder à la comparaison des revenus, il convient de se placer au moment de la naissance du droit éventuel à la rente (ATF 143 V 295 consid. 4.1.3 et les références citées ; TF 9C_254/2010 du 29 octobre 2010 consid. 4.2). c)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 c'est pourquoi il se déduit en principe du salaire réalisé en dernier lieu par la personne assurée avant l'atteinte à la santé, en tenant compte de</w:t>
      </w:r>
    </w:p>
    <w:p>
      <w:r>
        <w:t>- 27 - l'évolution des salaires jusqu'au moment de la naissance du droit à la rente (ATF 134 V 322 consid. 4.1 ; 129 V 222 consid. 4.3.1 et les références citées). d) Toutefois, lorsque la perte de l'emploi est due à des motifs étrangers à l'invalidité, le salaire doit être établi sur la base de valeurs moyennes (TF 9C_212/2015 du 9 juin 2015 consid. 5.4).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 TF 9C_394/2013 du 27 septembre 2013 consid. 3.3 et les références). e) Par ailleurs,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 au salaire statistique de la branche (ATF 135 V 297 consid. 6.1.2 p. 302).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322consid. 4.1 p. 325). 6. a) En l’occurrence, l’intimée a effectué la moyenne annuelle des revenus, tels qu’ils ressortaient de l’extrait du compte individuel AVS du recourant. Elle a ainsi arrêté le revenu sans invalidité à 46'832 francs.</w:t>
      </w:r>
    </w:p>
    <w:p>
      <w:r>
        <w:t>- 28 - Cette manière de faire n’est pas critiquable en l’occurrence, si l’on considère le fait que le recourant n’a pas perdu son emploi pour des raisons liées à son invalidité (cf. consid. 5c et d supra). b) Il reste toutefois à déterminer si le revenu sans invalidité retenu est nettement inférieur aux salaires habituels de la branche (cf. consid. 5e supra). aa) En l’occurrence, l’intéressé est cuisinier de formation et a travaillé dans plusieurs restaurants entre 2011 et 2016. Tel que cela ressort notamment du compte-rendu d’entretien du 9 mars 2017, il avait effectué une formation de cuisinier avec diplôme en Tunisie, mais celle-ci n’était pas reconnue en Suisse. La convention collective nationale de travail pour l’hôtellerie- restauration (CCNT) bénéficie d’une décision d’extension ordonnée par arrêté du Conseil fédéral du 26 novembre 2013, entré en vigueur le 1er janvier 2014, prolongeant la déclaration d’extension du champ d’application de la CCNT jusqu’en 2017 (art. 1 al. 1 de la loi fédérale du 28 septembre 1956 permettant d'étendre le champ d'application de la convention collective de travail ; RS 221.215.311 ; TF 4C_191/2006 du 17 août 2006 consid. 2.2), de sorte qu’elle est applicable en l’espèce. La CCNT (état en vigueur du 1er décembre 2014 jusqu’au 31 décembre 2016) prévoit à son art. 10 al. 1 que les salaires mensuels bruts minimums pour les collaborateurs à plein temps ayant atteint l’âge de 18 ans révolus s’élève à 3'407 fr. pour un collaborateur sans apprentissage. C’est donc à juste titre que l’intimée a pris en compte le revenu mensuel minimum de 3'407 fr., qu’elle a multiplié par treize, tel qu’indiqué dans son résumé des documents déterminants pour la fixation de la rente établi le 6 février 2020 (même si elle y a, à tort indiqué un montant de 3'470 fr.). Le revenu annuel brut total, tel que calculé conformément à la CCNT, s’élève ainsi à 44'291 fr. (3'407 x 13). Il est moins favorable que le revenu annuel moyen de 46'832 fr. déterminé sur la base des salaires ressortant du compte individuel AVS, raison pour</w:t>
      </w:r>
    </w:p>
    <w:p>
      <w:r>
        <w:t>- 29 - laquelle l’intimée a donné la préférence à ce dernier montant (cf. résumé des documents déterminants pour la fixation de la rente établi le 6 février 2020). bb) Si l’on se réfère encore aux données statistiques de l’Enquête suisse sur la structure des salaires (ESS) 2016, table A1 dans le secteur privé, total des branches économiques, pour un homme, de niveau de compétence 1 (tâches physiques ou manuelles simples), exerçant dans le domaine de la restauration et de l’hébergement, à raison de 40 heures hebdomadaires, le revenu mensuel brut s’élève à 3'935 francs. En prenant en compte le fait que la moyenne des heures travaillées en Suisse est de 41.7 heures par semaine, le montant mensuel de base adapté s’élève à 4'102 fr. 25. Dès lors, le revenu annuel brut pour l’année 2016 revenait à 49'227 francs. Comparé au montant de 46'832 fr. pris en compte par l’intimée en se fondant sur le compte individuel AVS, la différence de revenu s’élève à 4.87 % (100 - [46'832 x 100 / 49'227]). Le revenu sans invalidité fixé par l’intimée n’est dès lors pas nettement inférieur aux salaires habituels versés dans le milieu de la restauration, n’étant pas inférieur à 5 %, au moins, du salaire statistique dans le domaine. c) Par conséquent, le revenu sans invalidité retenu par l’intimée ne prête pas le flanc à la critique. 7. Il sied finalement d’examiner l’évaluation de la capacité de travail relative aux atteintes somatiques du recourant, telle qu’elle a été opérée par l’intimée.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- 30 -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S’agissant de l’évaluation de la capacité de travail et du calcul du degré d’invalidité, on rappellera que l'évaluation de l'invalidité par l'assurance-invalidité n'a pas de force contraignante pour l'assureur- accidents (ATF 131 V 362 consid. 2.3). d)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w:t>
      </w:r>
    </w:p>
    <w:p>
      <w:r>
        <w:t>- 31 - valeur probante des éléments recueillis, l'administration doit mettre en œuvre les mesures nécessaires au complément de l'instruction (TF I 906/05 du 23 janvier 2007 consid. 6). Avant de conclure à l’impossibilité d’établir les faits, l’assureur doit, conformément au principe inquisitoire, entreprendre tout ce qui est raisonnablement exigible pour recueillir les moyens de preuve utiles. Lorsqu’il n’est pas possible d’établir les faits autrement, l’assureur ne peut renoncer à la mise en œuvre d’une mesure d’instruction nécessaire, au motif que celle-ci serait coûteuse, difficile à mettre en œuvre ou conduirait à un rallongement sensible de la durée de la procédure (Jacques-Olivier Piguet, in Dupont/Moser-Szeless [édit.], Loi sur la partie générale des assurances sociales, Commentaire romand, Bâle 2018, n° 46 ad art. 43 LPGA). 8. a) En l’occurrence, le Dr C.________ a indiqué, dans son rapport du 15 avril 2019, que la seule fonction potentiellement utile de la réanimation nerveuse était la pince brachio-thoracique. L’épaule ne pouvait pas être réanimée, faute de donneur. Aucun résultat fonctionnel n’avait été obtenu de la réanimation du triceps. En ce qui concernait le coude, une flexion à 90° n’était pas possible, même sans poids dans la main droite. En définitive, le bras droit du recourant est quasiment intégralement paralysé, et cet état est stable et définitif depuis le 11 avril 2019. A teneur de ce rapport, le Dr C.________ n’a toutefois pas évalué la capacité de travail résiduelle du recourant, que cela soit dans son ancienne activité de cuisinier ou dans une activité adaptée. Il n’a pas non plus établi une liste des limitations fonctionnelles du recourant ou fait état d’une quelconque baisse de rendement. Quant au Dr W.________, il a fait sienne les conclusions de son confrère, dans son rapport du 7 août 2019, tout en précisant que l’on se trouvait face à une paralysie totale plexuelle brachiale droit. Il n’a également pas fixé la capacité de travail avec invalidité du recourant. Il doit ainsi être constaté qu’il n’existe pas au dossier de documents médicaux indiquant dans quelle mesure et dans quelles</w:t>
      </w:r>
    </w:p>
    <w:p>
      <w:r>
        <w:t>- 32 - activités le recourant est encore capable de travailler ou déterminant sa capacité de travail avec invalidité. b) L’intimée est néanmoins parvenue à la conclusion qu’une complète capacité de travail résiduelle pouvait être reconnue au recourant. Pour fonder sa position, elle s’est contentée d’indiquer que celui-ci « avait démontré qu’il pouvait faire face à différentes situations de l’existence », de sorte qu’il « fallait convenir qu’il devait encore être apte à exercer en plein une activité légère dans différents secteurs de l’industrie, à la condition de ne pas devoir mettre à forte contribution son bras droit ». Ce constat est surprenant si on considère que le recourant a quasiment intégralement perdu l’usage de son épaule et bras droits, et souffre de douleurs neuropathiques sévères, dues aux avulsions radiculaires cervicales droites multiples et rebelles aux traitements antalgiques, tel qu’expliqué notamment par les médecins de la Clinique B.________ dans leur rapport du 23 janvier 2015, le Dr C.________ dans son rapport du 15 avril 2019, et le Dr W.________ dans son rapport du 7 août 2019. On relève encore que le recourant était droitier, de sorte qu’il a perdu l’usage de sa main dominante. Par ailleurs, si le Dr C.________, toujours dans son rapport du 15 avril 2019, mentionne que le recourant est capable de balayer en utilisant une seule main, de passer la serpillière et de plier le linge, ces éléments sont toutefois insuffisants pour conclure, comme l’a fait l’intimée, à une totale capacité de travail, sans diminution de rendement ou limitations fonctionnelles, excepté celle de ne pas mettre le bras droit à forte contribution. Plus important encore, dans son rapport du 27 novembre 2018, le Dr M.________ fait état de restrictions différentes, à savoir que le recourant nécessitait l’aide de tierce personne pour les soins d’hygiène corporelle nécessitant l’usage de son bras droit (hygiène de l’épaule gauche, du torse et de la partie postérieure du torse), l’hygiène de sa cellule (vaisselle et certaines activités de ménage) et pour le port du plateau nécessitant l’usage des deux mains (charge légère et lourde).</w:t>
      </w:r>
    </w:p>
    <w:p>
      <w:r>
        <w:t>- 33 - Face à ces contradictions, ainsi qu’à l’absence de toute évaluation médicale relative à la capacité de gain résiduelle du recourant, de liste formelle de limitations fonctionnelles et d’indication quant à une éventuelle baisse de rendement, l’intimée ne pouvait tirer les conclusions auxquelles elle est parvenue quant à la capacité de travail avec invalidité du recourant. Des mesures d’instruction médicales supplémentaires étaient, en l’espèce, indispensables. c) L’intimée concède, dans la décision sur opposition litigieuse, que sa prise de position manque de fondement médical. Elle se prévaut toutefois du fait que l’instruction médicale s’est heurtée à l’incarcération du recourant et à son expulsion du territoire suisse. Or, ces éléments sont insuffisants pour justifier les lacunes de l’instruction menée. En effet et comme exposé ci-dessus (cf. consid. 7d supra), l’intimée ne pouvait renoncer à la mise en œuvre de mesures d’instruction médicale nécessaires, au motif que celles-ci seraient coûteuses, difficiles à mettre en œuvre ou conduiraient à un rallongement sensible de la durée de la procédure. De surcroît, l’incarcération du recourant ne représentait pas un obstacle insurmontable à la mise en œuvre d’examens médicaux, respectivement à la production de rapports médicaux exhaustifs. En effet, le recourant était suivi par des médecins lorsqu’il était placé en détention, des rapports ayant notamment été demandés au Service médical de la prison [...]. (cf. rapport du 27 novembre 2018 du Dr M.________). Des rapports complémentaires contenant des appréciations complètes sur la capacité de travail avec invalidité du recourant auraient ainsi pu leur être demandés. Tel pouvait également être le cas s’agissant du Dr C.________, lequel a rencontré en consultation le recourant à deux reprises au cours de son emprisonnement, à tout le moins, en date du 21 mars 2018 et du 11 avril 2019. A l’aune du dossier, il apparaît que seul un bilan final auprès du médecin d’arrondissement n’a pas pu être organisé au mois de</w:t>
      </w:r>
    </w:p>
    <w:p>
      <w:r>
        <w:t>- 34 - septembre 2019, en raison de la libération conditionnelle et de l’expulsion immédiate le 18 juillet 2019 du recourant (cf. courriers des 11 février et 25 mars 2019 de l’intimée ; courriels des 10 mai et 30 juillet 2019 de l’Office d’exécution des peines du canton de Vaud). Or, même une fois expulsé , un sauf-conduit aurait pu être obtenu, afin que le recourant puisse se rendre en Suisse, comme cela a été le cas s’agissant de la procédure matrimoniale dans laquelle le recourant est impliqué. d) Enfin, l’intimée ne peut se prévaloir de l’évaluation opérée par l’OAI dans son projet de décision du 14 octobre 2019, étant donné qu’elle n'a pas de force contraignante pour l'assureur-accidents (cf. consid. 7c supra). e) A toutes fins utiles, on indiquera qu’il ne pourrait être fait grief au recourant de ne pas s’être conformé à son devoir de collaborer, au sens de l’art. 43 al. 3 LPGA. D’une part, l’intimée n’a pas proposé des mesures auxquelles l’intéressé se serait soustrait, mais a bien plutôt manqué d’instruire plus avant l’aspect médical. D’autre part, on ne saurait considérer que le recourant aurait refusé de se conformer à son obligation de manière inexcusable ou incompréhensible (Jacques-Olivier Piguet, op. cit., n°s 50 ad art. 43 LPGA), du seul fait qu’il était incarcéré ou expulsé . De même, l’emprisonnement et l’expulsion du recourant n’ont pas été prononcés pour les infractions en lien avec l’accident du 27 septembre 2016, mais sur la base d’autres événements (cf. arrêt du Tribunal fédéral du 29 janvier 2019). Il n’existe donc aucun lien avec l’événement assuré. f) Il ressort de ce qui précède que l’intimée a violé son obligation d’instruire, au sens de l’art. 43 al. 3 LPGA, s’agissant de la détermination de la capacité de travail avec invalidité du recourant. 9. 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w:t>
      </w:r>
    </w:p>
    <w:p>
      <w:r>
        <w:t>- 35 -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Une investigation médicale complémentaire s’avère nécessaire s’agissant de la détermination de la capacité de travail avec invalidité du recourant, dans son ancienne activité et dans une activité adaptée, ainsi que de la détermination d’une éventuelle baisse de rendement et des limitations fonctionnelles, en lien avec l’atteinte somatique. Il appartient à l’intimée d’y procéder, soit en requérant des rapports médicaux complémentaires aux médecins en charge du dossier, soit en procédant à de nouveaux examens médicaux. Il lui appartiendra également de redéfinir, sur la base des nouveaux renseignements récoltés, le taux d’invalidité du recourant. 10. a) L’obligation d’organiser des débats publics au sens de l’art. 6 § 1 CEDH (Convention de sauvegarde des droits de l’homme et des libertés fondamentales du 4 novembre 1950 ; RS 0.101) suppose une demande formulée de manière claire et indiscutable de l’une des parties au procès (ATF 136 I 279 consid. 1 ; 122 V 47 consid. 2e, 3a et 3b ; TF 9C_442/2018 du 16 octobre 2018 consid. 2.1 et 2.2). Dans le cas où il est saisi d’une demande de débats publics, le juge doit en principe y donner suite. Il peut cependant s’en abstenir lorsque la demande est abusive,</w:t>
      </w:r>
    </w:p>
    <w:p>
      <w:r>
        <w:t>- 36 -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n°16 ad art. 61 LPGA). Le droit à des débats publics n’ouvre, par ailleurs, pas le droit à une audition de partie à titre de moyen de preuve. Cette question relève plutôt du droit d’être entendu, en particulier du droit de participer à l’instruction et de proposer des moyens de preuve (ATF 122 II 464 consid. 4 ; TF 2C_153/2010 du 10 septembre 2010 consid. 3.2 ; Jean Métral, op. cit., n°17 ad art. 61 LPGA). Une demande de comparution personnelle ou d’audition personnelle constitue une demande de débats publics pour autant qu’il s’agisse pour le recourant d’exposer son point de vue sur le résultat des preuves administrées, et non de son audition à titre de moyen de preuve (TF 8C_390/2012 du 10 octobre 2012 consid. 2.3 ; TF 2C_100/2011 du 10 juin 2011 consid. 2 ; Jean Métral, op. cit., n° 18 ad art. 61 LPGA). b)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 c) Dans son acte de recours du 19 mai 2020, le recourant a conclu à son interrogatoire et à l’aménagement de débats publics afin, d’une part, que sa situation médicale et sociale actuelle soit appréciée avant qu’un jugement ne soit prononcé, et, d’autre part, que la juge instructrice ait l’occasion de le questionner précisément sur les séquelles psychiatriques qui avaient suivi l’accident du 27 septembre 2016 (art. 6 §</w:t>
      </w:r>
    </w:p>
    <w:p>
      <w:r>
        <w:t>- 37 - 1 CEDH ; art. 29 al. 2 Cst.). Il s’agissait de respecter le droit d’être entendu du recourant. On comprend que la requête du recourant tend en réalité à son seul interrogatoire à titre de moyen de preuve et à l’appréciation des preuves médicales, et non pas à exposer son point de vue sur le résultat des preuves déjà administrées. Dès lors, sa requête ne doit pas être comprise comme une demande de débats publics (art. 6 § 1 CEDH ; art. 29 al. 2 Cst.), mais bien comme une simple requête de preuve tendant à son audition. Or, le dossier est, en l’occurrence, complet et permet ainsi à la Cour de céans de statuer en pleine connaissance de cause. Il n'y a dès lors pas lieu de donner suite à la mesure d'instruction requise par le recourant. 11. a) En définitive, le recours interjeté par S.________ est admis. Partant, la décision sur opposition du 3 avril 2020 est annulée, la cause étant renvoyée à l’intimée pour complément d’instruction dans le sens des considérants, puis nouvelle décision. b) Il n’y a pas lieu de percevoir de frais judiciaires, la procédure étant gratuite (art. 61 let. a LPGA [dans sa teneur en vigueur jusqu’au 31 décembre 2020], applicable conformément à l’art. 83 LPGA).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