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ZA20.018331 vom 28. Juni 2021</w:t>
      </w:r>
    </w:p>
    <w:p>
      <w:r>
        <w:t>VD Tribunal cantonal, 2021-06-28, FR</w:t>
      </w:r>
    </w:p>
    <w:p>
      <w:r>
        <w:rPr>
          <w:b/>
        </w:rPr>
        <w:t xml:space="preserve">Quelle: </w:t>
      </w:r>
      <w:r>
        <w:t>https://mcp.opencaselaw.ch/entscheid/vd_gerichte_ZA20.018331</w:t>
      </w:r>
    </w:p>
    <w:p>
      <w:r>
        <w:t>FR: VD_GERICHTE ZA20.018331 du 28 juin 2021</w:t>
      </w:r>
    </w:p>
    <w:p>
      <w:r>
        <w:t>IT: VD_GERICHTE ZA20.018331 del 28 giugno 2021</w:t>
      </w:r>
    </w:p>
    <w:p>
      <w:pPr>
        <w:pStyle w:val="Heading2"/>
      </w:pPr>
      <w:r>
        <w:t>Erwägungen</w:t>
      </w:r>
    </w:p>
    <w:p>
      <w:r>
        <w:rPr>
          <w:b/>
        </w:rPr>
        <w:t>E. 2</w:t>
      </w:r>
    </w:p>
    <w:p>
      <w:r>
        <w:t>Le litige porte sur la question de savoir si la recourante a droit à des prestations de l’assurance-accidents pour la période postérieure au 8 août 2019, singulièrement si les lésions persistant au-delà de cette date demeurent en relation de causalité naturelle avec l’évènement accidentel du 24 mars 2018.</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w:t>
      </w:r>
    </w:p>
    <w:p>
      <w:r>
        <w:t>- 7 -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- 8 -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- 9 -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b)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117 V 265 consid. 3b et les références ; TF 8C_383/2018 du 10 décembre 2018 consid. 3.2 ; voir également ATF 139 V 176 consid. 5.2).</w:t>
      </w:r>
    </w:p>
    <w:p>
      <w:r>
        <w:rPr>
          <w:b/>
        </w:rPr>
        <w:t>E. 5</w:t>
      </w:r>
    </w:p>
    <w:p>
      <w:r>
        <w:t>Dans le cas d’espèce, il est établi que l’évènement du 24 mars 2018 est constitutif d’un accident au sens de l’art. 4 LPGA ; l’intimée ne le conteste d’ailleurs pas. Est par contre litigieuse la question de la</w:t>
      </w:r>
    </w:p>
    <w:p>
      <w:r>
        <w:t>- 10 - persistance, au-delà du 8 août 2019, du lien de causalité naturelle entre l’atteinte à la santé dont la recourante se plaint à l’épaule droite et l’accident assuré. Le Dr M.________, dont l’appréciation a fondé la position de l’intimée, a estimé que tel n’est pas le cas. Ainsi qu’il le met en évidence dans son rapport du 2 octobre 2019, une lésion SLAP IIC, déchirure survenant sur fond dégénératif du labrum, a été objectivée à distance du traumatisme, étant relevé que la recourante n’a consulté pour la première fois son médecin traitant que seize mois après sa survenance. L’IRM pratiquée le 18 juillet 2019 avait également mis en évidence une tendinopathie du sus-épineux, et dans une mesure moindre, du sous- épineux, ainsi qu’une arthrose acromio-claviculaire, reflétant une problématique de surmenage. De l’avis du Dr M.________, ces observations plaident en faveur d’une atteinte dégénérative, le lien avec l’évènement assuré étant très peu probable. Compte tenu du mécanisme de chute décrit dans la déclaration d’accident du 17 juillet 2019, et par la recourante lors de la visite du 12 septembre 2019, le choc direct sur l’épaule, sans mouvement extrême, avait tout au plus généré une contusion bégnine, ayant révélé des troubles dégénératifs sous-jacents précoces. Le statu quo sine avait été atteint au maximum trois mois après l’accident, soit le 24 juin 2018. Quant à l’origine des troubles dégénératifs, elle se trouvait vraisemblablement dans l’exercice d’activités sportives soutenues ou d’un autre type de surmenage. A cet égard, on relève que la recourante – droitière – pratique effectivement une activité physique régulière, sollicitant ses membres supérieurs. Les explications fournies par le Dr M.________ de l’intimée quant aux causes probables de l’atteinte persistante à l’épaule droite sont ainsi convaincantes. S’il a effectivement exposé que les lésions SLAP IIC pouvaient, en théorie, survenir à la suite d’un unique traumatisme, il a exclu cette hypothèse dans le cas particulier de la recourante, au vu des éléments en sa possession. Pour le surplus, l’argumentation de la recourante repose exclusivement sur l’adage « post hoc ergo propter hoc », qui ne suffit pas à établir un rapport de causalité naturelle avec l’événement du 24 mars</w:t>
      </w:r>
    </w:p>
    <w:p>
      <w:r>
        <w:t>- 11 - 2018, à l’instar des conclusions non étayées du Dr Y.________ pour qui les lésions constatées concordaient avec le traumatisme. Il ne se trouve pour le surplus aucun élément au dossier susceptible de remettre en cause la valeur probante des appréciations du Dr M.________. Le seul fait que celui-ci n’a pas examiné ni interrogé la recourante ne saurait inverser ce constat. Il a en effet eu connaissance de l’ensemble du dossier de la recourante, ainsi qu’eu accès aux images de l’IRM réalisée le 18 juillet 2019, qu’il mentionne et reprend en page 2 de son appréciation du 2 octobre 2019. Il a également confirmé sa position à la suite du rapport rédigé le 13 décembre 2019 par le Dr D.________. Force est ainsi de constater qu’il n’est pas possible de rattacher, au degré de la vraisemblance prépondérante, les lésions persistant au-delà du 8 août 2019 à l’accident du 24 mars 2018. Un lien de causalité est tout au plus possible, mais pas probable au sens de la jurisprudence. C’est dès lors à juste titre que l’intimée a refusé de prendre en charge des traitements médicaux au-delà du 8 août 2019.</w:t>
      </w:r>
    </w:p>
    <w:p>
      <w:r>
        <w:rPr>
          <w:b/>
        </w:rPr>
        <w:t>E. 6</w:t>
      </w:r>
    </w:p>
    <w:p>
      <w:r>
        <w:t>a) Cela étant, la recourante reproche à l’intimée de l’avoir informée du fait qu’elle prendrait en charge ces soins, puis d’avoir renoncé à cette prise en charge une fois les traitements entrepris. Elle ignorait ainsi, au moment où elle a décidé d’entreprendre les traitements réalisés, que les frais en résultants risquaient de ne pas être couverts par l’intimée. Ce faisant, la recourante se prévaut implicitement d’une violation du devoir de l’intimée de renseigner et de conseiller, consacré à l’art. 27 LPGA. b)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w:t>
      </w:r>
    </w:p>
    <w:p>
      <w:r>
        <w:t>- 12 - L’art. 27 al. 1 LPGA exige que la personne intéressée ait reçu les informations lui permettant, dans un cas particulier, d’effectuer les démarches nécessaires. Cela signifie en particulier que l’information doit porter sur les conditions d’un assujettissement à une assurance sociale, sur les modes de calcul et de fixation des contributions, sur les prestations envisageables et les conditions pour pouvoir bénéficier de telles prestations, de même que sur les règles générales de la procédure à emprunter (Guy Longchamp, in Dupont/Moser-Szeless [édit.], Commentaire romand, Loi sur la partie générale des assurances sociales, Bâle 2018, n°12 ad art. 27).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L’obligation de conseiller n’est toutefois pas illimitée. Le Tribunal fédéral a notamment jugé que les assurés doivent solliciter les renseignements nécessaires lorsqu’ils peuvent raisonnablement penser qu’ils s’apprêtent à mettre leurs droits en périls. L’assureur a certes un devoir d’anticiper les situations, mais ce devoir est limité (Longchamp op. cit., n°28 ad art. 27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w:t>
      </w:r>
    </w:p>
    <w:p>
      <w:r>
        <w:t>- 13 - bonne foi découlant de l’art. 9 Cst. ([Constitution fédérale de la Confédération suisse du 18 avril 1999 ; RS 101] ; ATF 131 V 472 consid. 5).</w:t>
      </w:r>
    </w:p>
    <w:p>
      <w:r>
        <w:rPr>
          <w:b/>
        </w:rPr>
        <w:t>E. 7</w:t>
      </w:r>
    </w:p>
    <w:p>
      <w:r>
        <w:t>En l’occurrence, on constate que l’intimée n’a pas refusé de prester, mais a estimé que les lésions persistant au-delà du 8 août 2019 ne présentaient plus de lien de causalité naturelle avec l’évènement du 24 mars 2018. En ce sens, elle n’a pas donné de fausse indication à la recourante dans son courrier du 23 juillet 2019, au sein duquel elle a exposé intervenir à hauteur des prestations légales. De cette dernière phrase, il faut comprendre que la couverture par l’assurance-accidents se limite aux frais résultants de l’évènement assuré, ce qui ressort également de la mention suivante dudit courrier, invitant les prestataires de soins à transmettre directement les factures « concernant les frais de traitement liés à [l’]accident » à l’intimée. Le courrier du 23 juillet 2019 contient ainsi une position de principe sur la couverture des suites de l’accident du 24 mars 2018, sans accord exprès pour un traitement déterminé ou indication sur la durée des prestations. Dans cette mesure, il appartenait à la recourante – dont on peut attendre qu’elle sollicite les renseignements nécessaires – de s’assurer, avant d’entreprendre toute démarche concrète, que les frais des traitements par infiltration étaient bien pris en charge par son assurance compte tenu de l’évolution de son atteinte, l’intimée ne pouvant procéder à un raisonnement prospectif à cet égard. Il s’ensuit que l’intimée n’a pas violé son devoir d’information quant à la prise en charge des frais de soins en lien avec l’accident du 24 mars 2018.</w:t>
      </w:r>
    </w:p>
    <w:p>
      <w:r>
        <w:rPr>
          <w:b/>
        </w:rPr>
        <w:t>E. 8</w:t>
      </w:r>
    </w:p>
    <w:p>
      <w:r>
        <w:t>a) En conclusion,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dès lors que la recourante n’obtient pas gain de cause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