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ZA20.014368 vom 21. März 2022</w:t>
      </w:r>
    </w:p>
    <w:p>
      <w:r>
        <w:t>VD Tribunal cantonal, 2022-03-21, FR</w:t>
      </w:r>
    </w:p>
    <w:p>
      <w:r>
        <w:rPr>
          <w:b/>
        </w:rPr>
        <w:t xml:space="preserve">Quelle: </w:t>
      </w:r>
      <w:r>
        <w:t>https://mcp.opencaselaw.ch/entscheid/vd_gerichte_ZA20.014368</w:t>
      </w:r>
    </w:p>
    <w:p>
      <w:r>
        <w:t>FR: VD_GERICHTE ZA20.014368 du 21 mars 2022</w:t>
      </w:r>
    </w:p>
    <w:p>
      <w:r>
        <w:t>IT: VD_GERICHTE ZA20.014368 del 21 marzo 2022</w:t>
      </w:r>
    </w:p>
    <w:p>
      <w:pPr>
        <w:pStyle w:val="Heading2"/>
      </w:pPr>
      <w:r>
        <w:t>Erwägungen</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qu’il ne peut pas être qualifié de probable dans le cas particulier, le droit à des prestations fondées sur l’accident assuré doit être nié (ATF 142 V 435 consid. 1 ; 129 V 402 consid. 4.3.1 ; TF 8C_21/2016 du 20 septembre 2016 consid. 3.1).</w:t>
      </w:r>
    </w:p>
    <w:p>
      <w:r>
        <w:t>- 10 - De même,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à tout le moins probable, avec l’événement assuré (ATF 129 V 177 consid. 3.1 ; TF 8C_441/2017 du 6 juin 2018 consid. 3.2).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w:t>
      </w:r>
    </w:p>
    <w:p>
      <w:r>
        <w:t>- 11 - ante n’est pas rétabli, l’assureur-accidents doit prendre à sa charge le traitement de l’état maladif préexistant, dans la mesure où il s’est manifesté à l’occasion de l’accident ou a été aggravé par ce dernier (TF 8C_595/2017 du 16 mai 2018 consid. 3.2 et les références citées).</w:t>
      </w:r>
    </w:p>
    <w:p>
      <w:r>
        <w:rPr>
          <w:b/>
        </w:rPr>
        <w:t>E. 5</w:t>
      </w:r>
    </w:p>
    <w:p>
      <w:r>
        <w:t>Selon le principe de la libre appréciation des preuves, pleinement valable en procédure judiciaire de recours dans le domaine des assurances sociales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6</w:t>
      </w:r>
    </w:p>
    <w:p>
      <w:r>
        <w:t>a) En l’occurrence, il convient d’examiner la valeur probante du rapport d’expertise du 1er août 2021 des Drs K.________ et R.________. b) Ledit rapport d’expertise est détaillé et exhaustif, les experts ayant procédé à une étude circonstanciée du dossier médical du recourant – en particulier des rapports d’imagerie fournis –, dressé une anamnèse complète, décrit avec précision l’examen médical mené et fait état des</w:t>
      </w:r>
    </w:p>
    <w:p>
      <w:r>
        <w:t>- 12 - plaintes du recourant. Ce rapport est également structuré et clair. Ses conclusions quant à la cause des atteintes à la santé du recourant sont dûment motivées et fondées sur des constatations objectives ainsi que sur l’expérience médicale. De même, l’appréciation des experts est cohérente avec les éléments du dossier et convainquante. En particulier, ceux-ci ont établi une liste des nombreux éléments parlants en faveur d’une origine traumatique, dont la plupart avaient également été relevés par le Dr T.________. En premier lieu, le recourant n’avait jamais eu de problème d’épaule avant l’événement du 22 juin 2017. S’il est vrai qu’il existe un pourcentage non négligeable de lésions transfixiantes de la coiffe des rotateurs chez des personnes n’ayant pas de problème d’épaule, ce genre de lésion est en revanche rarement transfixiante avant l’âge de 60 ans (entre 0 et 10 % des cas) et concerne généralement le sus-épineux. Or, le recourant avait en l’occurrence 62 ans au moment de l’accident et a souffert d’une lésion transfixiante de trois tendons, soit les tendons sus- épineux, sous-épineux et sous-scapulaire. En deuxième lieu, une chute sur le moignon de l’épaule, tel que cela était le cas en l’espèce, est reconnue comme étant un mécanisme vulnérant de lésion de la coiffe des rotateurs. L’origine traumatique des atteintes se déduit encore de la perte de la capacité d’élever le bras droit immédiatement après l’accident, telle que décrite par le recourant, de l’absence d’atrophie musculaire du muscle sus-épineux, de la présence d’un œdème musculaire et de la localisation d’une lésion au sein du même tendon avec un moignon tendineux restant sur le trochiter. En dernier lieu, l’absence d’infiltration graisseuse significative des muscles de la coiffe des rotateurs plaide en faveur d’une cause traumatique. En effet, ce type d’infiltration apparait en principe progressivement après une lésion transfixiante du tendon de la coiffe des rotateurs, soit dans une période de deux ans et demi à trois ans après la survenance de ladite lésion. Or l’IRM du 2 août 2017 pratiquée moins de deux mois après l’accident ne montrait aucun signe d’infiltration, ce qui étaie le caractère récent de la lésion transfixiante. Par ailleurs, les experts ont pris un soin particulier à revenir sur les différents arguments des Drs B.________ et T.________ ainsi qu’à étayer les motifs pour lesquels ils avaient adhéré, respectivement s’étaient</w:t>
      </w:r>
    </w:p>
    <w:p>
      <w:r>
        <w:t>- 13 - écartés des appréciations desdits médecins. En ce qui concerne singulièrement les explications du Dr B.________ selon lesquelles la rétraction tendineuse observée sur l’IRM du 2 août 2017 n’avait pas pu avoir lieu entre l’accident et ladite IRM, les experts ont confirmé que, selon l’expérience médicale, une telle rétraction se faisait en principe lentement. Toutefois, une rétraction de ce type, si elle était accompagnée de l’absence d’infiltration graisseuse de la musculature, tel que cela était le cas en l’espèce, pouvait être notée dans les semaines qui suivaient un accident, évoquant alors une lésion aiguë avec rétraction musculotendineuse importante. Par conséquent, cet élément n’est pas suffisant pour démontrer une lésion préexistante à l’accident au stade de la vraisemblance prépondérante, applicable en droit des assurances sociales (ATF 144 V 427 consid. 3.2 ; 139 V 176 consid. 5.3 et les références citées). S’agissant finalement du grief soulevé par l’intimée, selon lequel le rapport d’expertise ne mentionne pas l’existence de lésions dégénératives mises en évidence par la radiologie, il n’est pas nécessaire de l’examiner dans le détail. En effet, il est rappelé qu’un lien de causalité naturelle est reconnu lorsqu’il y a lieu d’admettre que, sans l’événement accidentel, le dommage ne se serait pas produit du tout ou ne serait pas survenu de la même manière. Cela étant, l’intimée n’établit pas – et ne cherche pas à établir – que l’ensemble des lésions constatées aurait une origine exclusivement dégénérative. c) Sur le vu de ce qui précède, il y a lieu de reconnaître au rapport d’expertise du 1er août 2021 une pleine valeur probante et de ne pas s’écarter de ses conclusions circonstanciées, selon lesquelles la rupture transfixiante des tendons sus-épineux, sous-épineux et sous- scapulaire avec luxation du tendon du long chef du biceps de l’épaule droite est en lien de causalité avec l’accident survenu le 22 juin 2017, ceci jusqu’à la stabilisation de son état de santé au 1er octobre 2019.</w:t>
      </w:r>
    </w:p>
    <w:p>
      <w:r>
        <w:t>- 14 - d) Par conséquent, le recourant a droit à la prise en charge des suites de l’accident du 22 juin 2017 au-delà du 31 octobre 2017, dans la mesure précisée par les experts.</w:t>
      </w:r>
    </w:p>
    <w:p>
      <w:r>
        <w:rPr>
          <w:b/>
        </w:rPr>
        <w:t>E. 7</w:t>
      </w:r>
    </w:p>
    <w:p>
      <w:r>
        <w:t>a) En définitive, le recours doit être admis et la décision sur opposition du 27 mars 2018 réformée en ce sens que l’intimée doit prendre en charge les suites de l’accident du 22 juin 2017 jusqu’au 1er octobre 2019. b) Il n’y a pas lieu de percevoir de frais judiciaires, la procédure étant gratuite (art. 61 let. a LPGA dans sa teneur en vigueur jusqu’au 31 décembre 2020, applicable conformément à l’art. 82a LPGA). c) Vu le sort de ses conclusions, la partie recourante a droit à une indemnité de dépens à titre de participation aux honoraires de son conseil (art. 61 let. g LPGA). Il convient d’arrêter cette indemnité à 4'000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