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ZA20.005363 vom 9. Mai 2022</w:t>
      </w:r>
    </w:p>
    <w:p>
      <w:r>
        <w:t>VD Tribunal cantonal, 2022-05-09, FR</w:t>
      </w:r>
    </w:p>
    <w:p>
      <w:r>
        <w:rPr>
          <w:b/>
        </w:rPr>
        <w:t xml:space="preserve">Quelle: </w:t>
      </w:r>
      <w:r>
        <w:t>https://mcp.opencaselaw.ch/entscheid/vd_gerichte_ZA20.005363</w:t>
      </w:r>
    </w:p>
    <w:p>
      <w:r>
        <w:t>FR: VD_GERICHTE ZA20.005363 du 9 mai 2022</w:t>
      </w:r>
    </w:p>
    <w:p>
      <w:r>
        <w:t>IT: VD_GERICHTE ZA20.005363 del 9 maggio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w:t>
      </w:r>
    </w:p>
    <w:p>
      <w:r>
        <w:t>- 5 -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au montant de primes à percevoir pour les années 2017 à 2019 et calculées en pour mille d’un gain assuré peu élevé, est manifestement inférieure à 30’000 fr., fondant la compétence du juge unique (art. 94 al. 1 let. a LPA-VD). d) L’art. 24 al. 1 LPA-VD prévoit que l’autorité peut, d’office ou sur requête, joindre en une même procédure des affaires qui se rapportent à une situation de faits identique ou à une cause juridique commune. Dans la mesure où les deux recours du 6 février 2020 se rapportent à une situation de faits identique et à une cause juridique commune, il convient d’accéder aux requêtes des recourants et de joindre les causes AA 14/20 et AA 15/20, ainsi que de se prononcer sur les deux recours dans un seul et unique arrêt.</w:t>
      </w:r>
    </w:p>
    <w:p>
      <w:r>
        <w:rPr>
          <w:b/>
        </w:rPr>
        <w:t>E. 2</w:t>
      </w:r>
    </w:p>
    <w:p>
      <w:r>
        <w:t>L’intimée retenant un statut mixte, le litige porte sur la qualification – salariée ou indépendante – de l’activité exercée par A.J.________ sur mandat de son père B.J.________ entre 2017 et 2019.</w:t>
      </w:r>
    </w:p>
    <w:p>
      <w:r>
        <w:rPr>
          <w:b/>
        </w:rPr>
        <w:t>E. 3</w:t>
      </w:r>
    </w:p>
    <w:p>
      <w:r>
        <w:t>D’entrée de cause, le motif de nature formelle invoqué par A.J.________ d’une confusion quant à l’objet de la décision sur opposition attaquée, respectivement l’objet de la contestation, et à une éventuelle violation de son droit d’être entendu, peut être rejeté. La décision en constatation du 17 juin 2019 consacrait un statut mixte, avec pour point litigieux, tel que contesté en opposition, le statut de salarié de A.J.________</w:t>
      </w:r>
    </w:p>
    <w:p>
      <w:r>
        <w:t>- 6 - en tant que sous-traitant de son père B.J.________, ce que confirme la décision dont est recours.</w:t>
      </w:r>
    </w:p>
    <w:p>
      <w:r>
        <w:rPr>
          <w:b/>
        </w:rPr>
        <w:t>E. 4</w:t>
      </w:r>
    </w:p>
    <w:p>
      <w:r>
        <w:t>a) Selon l’art. 1a al. 1 LAA, sont obligatoirement assurés les travailleurs occupés en Suisse. La LAA ne définit pas la notion de travailleur. Pour des raisons pratiques, la jurisprudence a rapproché la notion de travailleur de la LAA de celle de l’AVS, en précisant que des impératifs de coordination exigent que l’assureur-accidents ne s’écarte pas, sauf inexactitude manifeste, de la qualification des organes de l’AVS. Depuis le 1er janvier 1998, ce principe a trouvé sa concrétisation dans l’art. 1 OLAA (ordonnance du 20 décembre 1982 sur l’assurance- accidents ; RS 832.202), d’après lequel est réputé travailleur selon l’art. 1a al. 1 LAA quiconque exerce une activité lucrative dépendante au sens de la législation fédérale sur l’assurance-vieillesse et survivants (JEAN-MAURICE FRÉSARD/MARGIT MOSER-SZELESS, L’assurance-accidents obligatoire, in : Schweizerisches Bundesverwaltungsrecht [SBVR], Soziale Sicherheit, 3e éd. 2016, p. 899). b) Dans la LAVS (loi fédérale du 20 décembre 1946 sur l’assurance-vieillesse et survivants ; RS 831.10), l’obligation de payer des cotisations dépend, pour une personne qui exerce une activité lucrative, notamment de la qualification du revenu touché dans un certain laps de temps ; il faut se demander si cette rétribution est due pour une activité indépendante ou pour une activité salariée (art. 5 et 9 LAVS ; art. 6 sv. RAVS [règlement du 31 octobre 1947 sur l’assurance-vieillesse et survivants ; RS 831.101]).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w:t>
      </w:r>
    </w:p>
    <w:p>
      <w:r>
        <w:t>- 7 -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(cf. ATF 138 V 463 consid. 6.1 et les références). Quant au revenu provenant d’une activité indépendante, il comprend tout revenu du travail autre que la rémunération pour un travail accompli dans une situation dépendante (cf. art. 9 al. 1 LAVS ; cf. aussi art. 12 al. 1 LPGA). A noter qu’une personne exerçant une activité lucrative indépendante peut simultanément avoir la qualité de salarié si elle reçoit un salaire correspondant (cf. art. 12 al. 2 LPGA). c)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d’activités ; pour trancher la question, on</w:t>
      </w:r>
    </w:p>
    <w:p>
      <w:r>
        <w:t>- 8 - se demandera quels éléments sont prédominants dans le cas considéré (ATF 140 V 108 consid. 6 ; ATF 123 V 161 consid. 1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d) L’Office fédéral des assurances sociales (OFAS) a établi des Directives sur le salaire déterminant dans l’AVS, AI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144 V 195 consid. 4.2 ; ATF 118 V 129 consid. 3a). Ainsi, en rapport avec la définition du salaire déterminant, s’agissant de la notion de situation dépendante, le chiffre 1018 DSD précise qu’exerce en principe une activité dépendante, celui qui ne supporte pas de risque économique analogue à celui qui est encouru par l’entrepreneur et dépend de son employeur du point de vue économique ou dans l’organisation du travail.</w:t>
      </w:r>
    </w:p>
    <w:p>
      <w:r>
        <w:t>- 9 -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(TF 9C_213/2016 du 17 octobre 2016 consid. 3.4 ; TF 9C_624/2011 du 25 septembre 2012 consid. 2.2 ; TF 9C_1062/2010 précité consid. 7.3 et les références ; voir aussi ATF 119 V 161 consid. 3b ; chiffre 1019 DSD).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9C_213/2016 précité consid. 3.4 ; TF 9C_364/2013 du 23 septembre 2013 consid. 2.2 et les références).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(chiffre 1020 DSD). Selon le chiffre 1024 DSD, on peut donner la prépondérance soit au critère du risque économique soit à celui du rapport de dépendance, ou à leurs manifestations respectives, suivant les</w:t>
      </w:r>
    </w:p>
    <w:p>
      <w:r>
        <w:t>- 10 - circonstances particulières de chaque cas. Ainsi, certaines activités économiques, en particulier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9C_364/2013 précité consid. 2.2 ; TF H 19/06 du 14 février 2007 consid. 5.1 et les références).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(chiffre 1026 DSD). Aux chiffres 1029 sv.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(chiffre 1030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(chiffre 1031 DSD). Parmi les autres critères non décisifs, figurent le fait que l’assuré exerce son activité à titre de profession principale ou accessoire (chiffre 1033 DSD), que l’assuré soit affilié à une caisse de compensation en qualité de travailleur indépendant (chiffre 1034 DSD), qu’un salarié travaille simultanément pour plusieurs employeurs (chiffre 1035 DSD), ou la qualification des revenus par l’autorité fiscale (chiffre 1038 DSD). e) On observera encore que les DSD prévoient des dispositions spéciales s'appliquant à certains groupes de professions, dont notamment</w:t>
      </w:r>
    </w:p>
    <w:p>
      <w:r>
        <w:t>- 11 - les travailleurs à la tâche, ou tâcherons (chiffre 4022 sv. DSD).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101 V 87 consid. 2 ; TFA H 169/04 du 21 avril 2005 consid. 4.4 ; GUSTAVO SCARTAZZINI, in: GREBER/DUC/SCARTAZZINI, Commentaire des art. 1 à 16 de la Loi fédérale sur l'assurance-vieillesse et survivants [LAVS], 1996, n. 134 sv. ad art. 5; HANS-PETER KÄSER, Unterstellung und Beitragswesen in der obligatorischen AHV, 2e éd., ch. 4.51).</w:t>
      </w:r>
    </w:p>
    <w:p>
      <w:r>
        <w:rPr>
          <w:b/>
        </w:rPr>
        <w:t>E. 5</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w:t>
      </w:r>
    </w:p>
    <w:p>
      <w:r>
        <w:rPr>
          <w:b/>
        </w:rPr>
        <w:t>E. 6</w:t>
      </w:r>
    </w:p>
    <w:p>
      <w:r>
        <w:t>a) En l’espèce, le statut d’indépendant de A.J.________ est retenu par la caisse cantonale vaudoise de compensation AVS, ce qui pose une base. Par ailleurs, le statut d’indépendant n’est pas contesté par l’intimée dans le cadre du statut mixte reconnu à l’intéressé, s’agissant de ses mandats privés. N’est considérée comme salariée que l’activité de sous-traitant exercée par A.J.________ sur mandat de son père entre 2017 et 2019. b) S’agissant d’une activité de service, en pareilles circonstances, le critère de l’indépendance (organisationnelle et économique) prédomine sur celui du risque entrepreneurial. Selon le dossier constitué et les éléments produits durant la procédure, l’activité</w:t>
      </w:r>
    </w:p>
    <w:p>
      <w:r>
        <w:t>- 12 - exercée de dessinateur en bâtiments ne requérant pas d’investissement particulier ou d’infrastructure conséquente, on observe que A.J.________ s’est doté du matériel nécessaire à travailler en indépendance (ordinateur avec logiciel professionnel de conception assistée, imprimante, papier entête, site web et boîte de courrier électronique professionnelle) et qu’il dispose de locaux personnels, sans connaître de lien de subordination organisationnelle. Certes, tel n’était pas encore le cas au début de son activité en 2017, mais il convient, selon la jurisprudence, d’observer une marge de temps pour la mise en œuvre de toute activité indépendante, dont le statut peut être évolutif. On observe par ailleurs que A.J.________ est libre dans le choix de ses mandats, puisqu’il travaille pour d’autres clients que son père, et qu’il n’y a donc pas d’interdiction de concurrence. Les montants ont été facturés à l’heure, et non pas au forfait, à l’instar du cas de bon nombre de professions indépendantes (avocat, médecin, garagiste, etc.). On ne voit par ailleurs pas de subordination de A.J.________ dans l’acceptation des mandats (liberté d’accepter) ni dans l’exécution du travail, les tâches relevant certes de la sous-traitance, mais sous la responsabilité de l’exécutant au regard de la mission confiée par le client, que ce soit l’architecte ou le client de celui-ci. Enfin, comme le relève avec pertinence sa mandataire, l’intéressé engage sa responsabilité propre quant à la bonne facture de son travail, et a du reste conclu une assurance RC à cet égard, ce à quoi il n’est professionnellement pas tenu. c) Au vu de l’ensemble des éléments précités du cas concret, force est de constater une accumulation prépondérante d’indices attestant l’existence d’un statut d’indépendant, d’autant que le statut mixte est reconnu par l’intimée, avec donc une activité de sous-traitant indépendant exercée par A.J.________ sur mandat pour d’autres clients que son père B.J.________. C’est par ailleurs le lieu de préciser que le seul lien de filiation n’autorise pas à extrapoler une relation de dépendance, laquelle n’est au demeurant pas établie en l’espèce. Il s’en suit que les deux décisions attaquées ne sont pas conformes au droit fédéral.</w:t>
      </w:r>
    </w:p>
    <w:p>
      <w:r>
        <w:rPr>
          <w:b/>
        </w:rPr>
        <w:t>E. 7</w:t>
      </w:r>
    </w:p>
    <w:p>
      <w:r>
        <w:t>a) En définitive, les deux recours, fondés, doivent être admis, et les deux décisions sur oppositions annulées en conséquence.</w:t>
      </w:r>
    </w:p>
    <w:p>
      <w:r>
        <w:t>- 13 - b) Il n’y a pas lieu de percevoir de frais judiciaires (art. 61 let. a LPGA dans sa teneur en vigueur jusqu’au 31 décembre 2020, applicable conformément à l’art. 82a LPGA). c) Vu le sort de leurs conclusions, les deux recourants ont droit à une indemnité de dépens à titre de participation aux honoraires de leurs conseils respectifs (art. 61 let. g LPGA). Il convient d’arrêter cette indemnité à 2’000 fr., débours et TVA compris (art. 10 et 11 TFJDA [tarif du 28 avril 2015 des frais judiciaires et des dépens en matière administrative ; BLV 173.36.5.1]) pour chacun des recourants, et de la mettre intégralement à la charge de l’intimée. Par ces motifs, le juge unique p r o n o n c e : I. Les causes AA 14/20 et AA 15/20 sont jointes. II. Les recours sont admis. III. Les deux décisions sur oppositions respectivement rendues le 6 janvier 2020 par la Caisse nationale suisse d’assurance en cas d’accidents à l’attention de A.J.________ et de B.J.________ sont réformées en ce sens que A.J.________ remplit, au sens de la LAA, les critères pour se voir reconnaître l’exercice d’une activité lucrative indépendante dans le cadre des mandats qui lui sont confiés par B.J.________. IV. Il n’est pas perçu de frais judiciaires. V. La Caisse nationale suisse d’assurance en cas d’accidents versera à A.J.________ une indemnité de 2'000 fr. (deux mille francs) à titre de dépens.</w:t>
      </w:r>
    </w:p>
    <w:p>
      <w:r>
        <w:t>- 14 - VI. La Caisse nationale suisse d’assurance en cas d’accidents versera à B.J.________ une indemnité de 2'000 fr. (deux mille francs) à titre de dépens. Le juge unique : Le greffier : Du L'arrêt qui précède est notifié à : - Me Stéphanie Cacciatore (pour A.J.________), - Me Corinne Monnard Séchaud (pour B.J.________), - Caisse nationale suisse d'assurance en cas d'accidents, - Office Fédéral de la Santé Publique (OFSP),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