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ZA20.000623 vom 21. Juli 2020</w:t>
      </w:r>
    </w:p>
    <w:p>
      <w:r>
        <w:t>VD Tribunal cantonal, 2020-07-21, FR</w:t>
      </w:r>
    </w:p>
    <w:p>
      <w:r>
        <w:rPr>
          <w:b/>
        </w:rPr>
        <w:t xml:space="preserve">Quelle: </w:t>
      </w:r>
      <w:r>
        <w:t>https://mcp.opencaselaw.ch/entscheid/vd_gerichte_ZA20.000623</w:t>
      </w:r>
    </w:p>
    <w:p>
      <w:r>
        <w:t>FR: VD_GERICHTE ZA20.000623 du 21 juillet 2020</w:t>
      </w:r>
    </w:p>
    <w:p>
      <w:r>
        <w:t>IT: VD_GERICHTE ZA20.000623 del 21 luglio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Selon l’art. 39 al. 2 LPGA, en corrélation avec l’art. 60 al. 2 LPGA, lorsqu’une partie s’adresse en temps utile à un assureur incompétent, le délai est réputé observé. b) En l’espèce, le recours dirigé contre la décision du 29 novembre 2019 a été adressé à la CNA le 28 décembre 2019, soit dans le délai de trente jours, puis a été transmis le 8 janvier 2019 à la CASSO. Le recours a ainsi été déposé en temps utile (art. 93 let. a LPA-VD [loi cantonale vaudoise du 28 octobre 2008 sur la procédure administrative ; BLV 173.36] ; art. 39 al. 2 et 60 LPGA). Respectant par ailleurs les autres conditions formelles prévues par la loi (art. 61 let. b LPGA notamment), le recours est recevable.</w:t>
      </w:r>
    </w:p>
    <w:p>
      <w:r>
        <w:rPr>
          <w:b/>
        </w:rPr>
        <w:t>E. 2</w:t>
      </w:r>
    </w:p>
    <w:p>
      <w:r>
        <w:t>Le litige porte sur le droit du recourant à une rente de l’assurance-accidents.</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Selon l’art. 18 al. 1 LAA, si l’assuré est invalide à 10 % au moins par suite d’un accident, il a droit à une rente d’invalidité, pour</w:t>
      </w:r>
    </w:p>
    <w:p>
      <w:r>
        <w:t>- 8 -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w:t>
      </w:r>
    </w:p>
    <w:p>
      <w:r>
        <w:t>- 9 - défaut, sur l’évolution des salaires nominaux (par ex. : TF 9C_192/2014 du 23 septembre 2014 consid. 4.2). cc)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w:t>
      </w:r>
    </w:p>
    <w:p>
      <w:r>
        <w:t>- 10 -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w:t>
      </w:r>
    </w:p>
    <w:p>
      <w:r>
        <w:t>a) Le recourant a été victime d’un accident le 25 septembre 2018, lequel a entraîné une déchirure partielle du tendon quadricipital du genou gauche avec une petite fracture-arrachement du pôle supérieur de</w:t>
      </w:r>
    </w:p>
    <w:p>
      <w:r>
        <w:t>- 11 - la rotule. Le 5 janvier 2019, il a fait une chute provoquant une entorse de la cheville droite. Compte tenu de ces deux atteintes, le recourant a été adressé à la Clinique S.________ en vue de bénéficier d’une rééducation intensive et de faire l’objet d’une évaluation de ses capacités fonctionnelles et professionnelles. Sur le plan médical, les médecins de la Clinique S.________ ont constaté, dans leur rapport du 17 juillet 2019 faisant suite au séjour de l’intéressé auprès de cette Clinique du 29 mai au 3 juillet 2019, que la situation n’était pas encore stabilisée et qu’il fallait attendre deux à trois mois, tout en précisant que le pronostic de réinsertion dans l’activité habituelle paraissait mitigé tandis que le pronostic de réinsertion dans une activité adaptée aux limitations fonctionnelles (port de charges supérieures à 20-25 kg, port de charges répété supérieures à 15-20 kg, position accroupie ou à genoux prolongée, marche prolongée, utilisation répétée des escaliers) restait favorable. Le 9 octobre 2019, le recourant a été examiné par le Dr M.________, lequel a relevé, dans son rapport du 10 octobre 2019, que l’examen clinique ne faisait en particulier pas apparaître de limitation fonctionnelle importante, le conduisant ainsi à retenir qu’il existait une certaine discordance entre l’ampleur du handicap anamnestique et les constations objectives de l’examen radio-clinique qui étaient assez minces, notamment en ce qui concernait les seules suites de l’accident du 25 septembre 2018. Le Dr M.________ précisait qu’il avait de la peine à identifier d’éventuelles séquelles de l’accident en question. L’état de santé du recourant étant considéré comme stabilisé, le Dr M.________ a conclu à une pleine capacité de travail dans une activité adaptée. Il n’y a en l’occurrence pas d’éléments au dossier permettant de s’écarter de l’avis du Dr M.________ qui confirme finalement celui des médecins de la Clinique S.________, lesquels avaient estimé en juillet 2019 que l’état de santé du recourant serait stabilisé deux à trois mois plus tard. En particulier, l’avis du Dr N.________ ne permet pas de considérer la situation sous un autre angle. En effet, dans son rapport du 5 août 2019, antérieur à l’examen final du Dr M.________, le Dr N.________ a mentionné qu’il n’y avait rien de particulier à l’examen clinique et il a attesté une</w:t>
      </w:r>
    </w:p>
    <w:p>
      <w:r>
        <w:t>- 12 - incapacité de travail totale jusqu’au 31 octobre 2019 avec une reprise d’activité à 100% dès le 1er novembre 2019. Il a certes émis une réserve quant à cette reprise à 100%, sans toutefois préciser en quoi la capacité de travail du recourant serait réduite dans une activité adaptée. Il convient ainsi de considérer que l’état de santé du recourant s’est stabilisé au plus tard en octobre 2019 et qu’il dispose depuis lors d’une capacité de travail entière dans une activité adaptée respectant les limitations fonctionnelles suivantes : port de charges supérieures à 20-25 kg, port de charges répété supérieures à 15-20 kg, position accroupie ou à genoux prolongée, marche prolongée, utilisation répétée des escaliers. b/aa) S’agissant du calcul du préjudice économique, le recourant ne remet pas en cause le revenu sans invalidité de 41'462 fr., qui peut être confirmé. Pour ce qui est du revenu avec invalidité, l’intimée s’est à juste titre fondée sur l’ESS, dans la mesure où le recourant n’a pas repris d’activité lucrative depuis l’accident. Elle a pris en compte le salaire versé à un homme dans le secteur privé, avec un niveau de compétence 1, correspondant à des tâches physiques ou manuelles simples, ne nécessitant pas de formation particulière, soit un salaire de 5'340 fr. par mois selon l’ESS de 2016. Après adaptation à la durée de travail hebdomadaire usuelle en Suisse (5'340 fr. : 40 x 41.7 heures x 12 = 66'803 fr. 40) et à l’évolution des salaires jusqu’en 2019 (+ 0.4% en 2017 ; + 0.5% en 2018 et + 0.5% en 2019), le revenu d’invalide a été arrêté à 67'743 fr. par année. Ce calcul ne prête pas le flanc à la critique et peut être confirmé. bb) A l’appui de son recours, l’intéressé fait valoir qu’il peine à trouver un emploi adapté en raison de son âge avancé. Selon l’art. 28 al. 4 OLAA (ordonnance du 20 décembre 1982 sur l’assurance-accidents ;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w:t>
      </w:r>
    </w:p>
    <w:p>
      <w:r>
        <w:t>- 13 - même gravité pourrait réaliser. L'âge moyen est de 42 ans ou, du moins, se situe entre 40 et 45 ans. L'âge avancé est d'environ 60 ans (RAMA 1990 n° U 115 p. 389, U 106/89, consid. 4d et e; arrêt 8C_554/2017 du 4 juillet 2018 consid. 3.3.1). Le Tribunal fédéral a eu l’occasion de se prononcer sur l’application de la disposition précitée. Dans un arrêt du 31 octobre 2019, il a considéré que l’art. 28 al. 4 OLAA était applicable dès lors que l’assurée était âgée de 63 ans au moment de la naissance du droit à la rente, soit un âge proche de la retraite et qu’il était douteux que cette assurée puisse retrouver un emploi pour une durée d’une année seulement. Les premiers juges étaient ainsi en droit de se fonder sur les possibilités de gain d'une assurée d'âge moyen en dépit du fait que la recourante était proche de l'âge de la retraite (TF 8C_655/2018 du 31 octobre 2019 consid. 8.3.1 à 8.3.3). En l’occurrence la situation du recourant n’est pas comparable à celle de l’arrêt précité en ce sens que le recourant était âgé de 59 ans au moment de la naissance éventuelle du droit à la rente, et qu’il lui restait donc six années avant d’atteindre l’âge de la retraite. L’art. 28 al. 4 OLAA ne lui est donc pas applicable et l’intimée n’avait ainsi pas à tenir compte du revenu d’invalide réalisé par un assuré d’âge moyen. cc) L’intimée a estimé qu’il n’y avait en outre pas lieu d’opérer un abattement sur le revenu avec invalidité, compte tenu des limitations fonctionnelles relativement peu importantes auxquelles devait faire face le recourant et du vaste éventail d’activités adaptées entrant en ligne de compte avec le niveau de compétence 1 de l’ESS. L’intimée a également rappelé la jurisprudence selon laquelle le manque d’expérience et de formation d’un assuré dans une nouvelle profession ne constituait pas un facteur susceptible de jouer un rôle significatif sur des perspectives salariales, lorsque le revenu d’invalide était déterminé en référence au salaire statistique auquel peuvent prétendre les hommes effectuant des activités simples et répétitives et ne nécessitant ni formation, ni</w:t>
      </w:r>
    </w:p>
    <w:p>
      <w:r>
        <w:t>- 14 - expérience professionnelle spécifique (TF 8C_103/2018 du 25 juillet 2018 consid. 5.2). On relèvera à cet égard, à l’instar de l’intimée, que le Tribunal fédéral n’a pas encore tranché le point de savoir si, dans le domaine de l’assurance-accidents obligatoire, l’âge constitue un critère d’abattement ou si l’influence de l’âge sur la capacité de gain devait être prise en compte uniquement dans le cadre de la réglementation particulière de l’art. 28 al. 4 OLAA qui, comme on l’a vu, n’est pas applicable au cas du recourant. Cette question peut en l’occurrence demeurer indécise en l’espèce, dans la mesure où le recourant n’expose pas en quoi ses perspectives salariales seraient concrètement réduites sur un marché du travail équilibré à raison de son âge (TF 8C_122/2019 du 10 septembre 2019, consid. 4.3.2). Enfin, même si le recourant a toujours travaillé en tant que plâtrier-peintre, il a fait preuve de capacités d’adaptation certaines en changeant d’employeurs à plusieurs reprises au cours des années ayant précédé son accident du 25 septembre 2018 et en fondant sa propre entreprise en 2015. Ainsi, on peut considérer, avec l’intimée, que cette faculté d’adaptation sur le plan professionnel permet au recourant de compenser les désavantages liés à son âge, surtout dans le domaine des emplois non qualifiés qui sont, en règle générale, disponibles indépendamment de l’âge sur le marché équilibré du travail. C’est donc sans arbitraire que l’intimée n’a pas opéré d’abattement sur le revenu d’invalide. Cela étant, comme le relève à bon droit la CNA, même à supposer qu’un abattement de 10% soit appliqué au revenu d’invalide de 67'743 fr., ce qui conduirait à retenir un revenu de 60'968 fr. 70, cela ne changerait rien au résultat, dès lors que ce revenu resterait largement supérieur au revenu sans invalidité.</w:t>
      </w:r>
    </w:p>
    <w:p>
      <w:r>
        <w:t>- 15 - c) En définitive, l’intimée était fondée, par sa décision sur opposition du 29 novembre 2019, à retenir que la capacité de gain du recourant n’était pas entamée et, partant, à nier son droit à une rente d’invalidité.</w:t>
      </w:r>
    </w:p>
    <w:p>
      <w:r>
        <w:rPr>
          <w:b/>
        </w:rPr>
        <w:t>E. 6</w:t>
      </w:r>
    </w:p>
    <w:p>
      <w:r>
        <w:t>Compte tenu de ce qui précède, le recours, mal fondé, doit être rejeté et la décision sur opposition entreprise confirmée.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