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ZA19.046857 vom 22. Juni 2020</w:t>
      </w:r>
    </w:p>
    <w:p>
      <w:r>
        <w:t>VD Tribunal cantonal, 2020-06-22, FR</w:t>
      </w:r>
    </w:p>
    <w:p>
      <w:r>
        <w:rPr>
          <w:b/>
        </w:rPr>
        <w:t xml:space="preserve">Quelle: </w:t>
      </w:r>
      <w:r>
        <w:t>https://mcp.opencaselaw.ch/entscheid/vd_gerichte_ZA19.046857</w:t>
      </w:r>
    </w:p>
    <w:p>
      <w:r>
        <w:t>FR: VD_GERICHTE ZA19.046857 du 22 juin 2020</w:t>
      </w:r>
    </w:p>
    <w:p>
      <w:r>
        <w:t>IT: VD_GERICHTE ZA19.046857 del 22 giugno 2020</w:t>
      </w:r>
    </w:p>
    <w:p>
      <w:pPr>
        <w:pStyle w:val="Heading2"/>
      </w:pPr>
      <w:r>
        <w:t>Erwägungen</w:t>
      </w:r>
    </w:p>
    <w:p>
      <w:r>
        <w:rPr>
          <w:b/>
        </w:rPr>
        <w:t>E. 3</w:t>
      </w:r>
    </w:p>
    <w:p>
      <w:r>
        <w:t>novembre 2009 consid. 2.1). Il n'y a pas matière à révision lorsque les circonstances sont demeurées inchangées et que le motif de la suppression ou de la diminution de la rente réside uniquement dans une nouvelle appréciation du cas (ATF 112 V 371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(RUDOLF RÜEDI, Die Revision von Dauerleistungen in der Sozialversicherung, Saint-Gall 1999, p. 15). b) Il importe de rappeler que l’octroi d’une rente nécessite un lien de causalité entre les troubles et l’accident ; cet élément est essentiel pour ouvrir le droit à la rente, dès lors qu’en l’absence de lien de causalité, il n’y a pas d’incapacité de gain ni de travail consécutives à l’accident, de sorte que le degré d’invalidité est nul. Un changement dans les circonstances permettant de déterminer le lien de causalité constitue une modification des conséquences de l’état de santé sur la capacité de gain qui peut fonder une révision au sens de l’art. 17 LPGA. La modification notable des faits déterminants par rapport à la situation au moment de l'octroi de la rente pour établir la causalité constitue bien un motif de révision de la rente d’invalidité au sens de l’art. 17 LPGA (TF 8C_139/2018 du 26 mars 2019 consid. 6.3 et 8C_728/2014 du 4 janvier 2016 consid. 5.3).</w:t>
      </w:r>
    </w:p>
    <w:p>
      <w:r>
        <w:t>- 13 - c) En particulier, il convient de relever qu’en dérogation à l’art. 17 al. 1 LPGA, l’art. 22 LAA prévoit que la rente ne peut plus être révisée à compter du mois au cours duquel l’ayant droit perçoit une rente de vieillesse de l’AVS, mais au plus tard lorsqu’il a atteint l’âge de la retraite fixé à l’art. 21 LAVS (loi fédérale du 20 décembre 1946 sur l’assurance- vieillesse et survivants ; RS 831.10). En l’espèce, l’avis de révision a été communiqué le 6 avril 2017 avant l’âge de la retraite le 9 novembre 2017, et donc en temps utile (ATF 103 V 30 consid. 2 ; TF 8C_481/2013 du 7 novembre 2013 consid. 4.1 et les références, non publié dans ATF 139 V 585).</w:t>
      </w:r>
    </w:p>
    <w:p>
      <w:r>
        <w:rPr>
          <w:b/>
        </w:rPr>
        <w:t>E. 3.2</w:t>
      </w:r>
    </w:p>
    <w:p>
      <w:r>
        <w:t>; TF I 127/07 du 7 janvier 2008 consid. 4.2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w:t>
      </w:r>
    </w:p>
    <w:p>
      <w:r>
        <w:t>- 21 -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et les références citées ; TF 8C_297/2008 du 23 septembre 2008 consid. 3.3). c) En l’occurrence, l’intimée a rejeté la demande d’assistance juridique déposée par le recourant, motif pris que la situation ne constituait pas un cas exceptionnel rendant l’assistance d’un avocat objectivement nécessaire. La nécessité de l’assistance d’un avocat ne peut être admise que si l’état de fait ou les questions de droit sont complexes au point de l’exiger. Le recourant ne possède pas de formation juridique ou médicale pour apprécier la portée des rapports médicaux. Cela correspond toutefois à la situation de la plupart des assurés. En outre, il est suivi depuis le mois de juin 1992 par le Dr W.________ qui pouvait le renseigner. Au demeurant, selon la jurisprudence du Tribunal fédéral, le fait pour un assuré de ne pas disposer d’un niveau de formation suffisant pour contester seul une décision de refus de prestations suffit à considérer qu’une assistance est nécessaire, mais ne permet pas de justifier en soi l’assistance d’un avocat comme requis en l’espèce, ce point devant être examiné au regard de la difficulté du point de vue objectif (TF 9C_486/2013 du 2 décembre 2013 consid. 3.2.1, non publié à l’ATF 139 V 600 et TF 9C_105/2007 du 13 novembre 2007 consid. 3.2).</w:t>
      </w:r>
    </w:p>
    <w:p>
      <w:r>
        <w:t>- 22 - Or, force est de constater qu’au regard de la jurisprudence, la cause ne soulève pas de difficultés particulières au stade de la procédure administrative. Dans le cas particulier, le seul fait qu’il existe des avis médicaux divergents sur la question du lien de causalité naturelle entre les troubles persistants et l’accident du 15 mars 1992 à la base de la suppression du droit à la rente au 31 mai 2019 ne suffit pas à considérer que l’assistance d’un avocat d’office soit indispensable. Ces questions relèvent principalement de l’appréciation médicale (cf. consid. 4c supra) et ne sont pas en soi une source de complexité excessive. Enfin, la procédure d’opposition ne présente pas de difficultés significatives, en tant qu’elle ne nécessite pas le respect de règles formelles spécifiques en sus de celles rappelées en dernière page de la décision du 15 mai 2019, la gestionnaire en charge du dossier chez D.________ se tenant en outre à disposition de l’assuré par téléphone en cas de questions. d) Sur le vu de ce qui précède, il y a lieu de retenir que l’assistance d’un avocat n’était pas nécessaire à l’assuré pour défendre ses intérêts devant l’autorité intimée. Il en résulte que D.________ n’a pas violé le droit fédéral en rejetant la demande d’assistance juridique. Le recours doit en conséquence être rejeté en ce qui concerne ce grief et la décision attaquée confirmée.</w:t>
      </w:r>
    </w:p>
    <w:p>
      <w:r>
        <w:rPr>
          <w:b/>
        </w:rPr>
        <w:t>E. 4</w:t>
      </w:r>
    </w:p>
    <w:p>
      <w:r>
        <w:t>a) Aux termes de l’art. 6 al. 1 LAA, sauf disposition contraire de la loi, les prestations de l’assurance-accidents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Selon l’art. 18 al. 1 LAA, si l’assuré est invalide (art. 8 LPGA) à 10 % au moins par suite d’un accident, il a droit à une rente d’invalidité, pour autant que l’accident soit survenu avant l’âge ordinaire de la retraite. Aux termes de l’art. 8 al. 1 LPGA, est réputée invalidité l’incapacité de gain totale ou partielle qui est présumée permanente ou de longue durée. La rente d’invalidité s’élève à 80 % du gain assuré (cf. art. 15 LAA), en cas d’invalidité totale ; si l’invalidité n’est que partielle, la rente est diminuée en conséquence. Si l’assuré a droit à une rente de l’assurance-invalidité ou à une rente de l’assurance-vieillesse et survivants, une rente complémentaire lui est allouée; celle-ci correspond, en dérogation à l’art. 69 LPGA, à la différence entre 90 % du gain assuré et la rente de l’assurance-invalidité ou de l’assurance-vieillesse et survivants, mais au plus au montant prévu pour l’invalidité totale ou partielle (art. 20 al. 1 – 2 LAA).</w:t>
      </w:r>
    </w:p>
    <w:p>
      <w:r>
        <w:t>- 14 -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- 15 - motivées. Au demeurant, l’élément déterminant pour la valeur probante, n’est ni l’origine du moyen de preuve, ni sa désignation comme rapport ou comme expertise, mais bel et bien son contenu (ATF 134 V 231 consid. 5.1 ; 125 V 351 consid. 3a ; TF 8C_877/2018 du 24 juillet 2019 consid. 5). e) aa) En l’espèce, se fondant sur l'expertise du Dr G.________ du 28 février 2019, l’intimée a considéré que l'état de santé du recourant n’était plus en lien de causalité naturelle avec l’accident du 15 mars 1992, les conditions d'une révision au sens de l'art. 17 LPGA – dans le sens de la suppression du droit à la rente au 31 mai 2019 – étaient ainsi réunies, ce que l’intéressé conteste. Est déterminant le point de savoir si une modification est intervenue dans l’état de santé de l’assuré permettant de nier la persistance du lien de causalité tel qu’il avait été initialement reconnu au moment de l’allocation de la rente. Il convient d’examiner si les considérations médicales résultant de l’expertise de février 2019 établissent qu’à la date déterminante de la suppression de la rente, l’état dépressif, bien que toujours présent chez l’intéressé, ne peut plus être imputé au traumatisme initial vu l’écoulement du temps, mais trouve une origine probable ailleurs, soit, selon l’expert, dans un deuil pathologique d’origine maladive. Pour l’expert, le recourant n’a pas connu de fin de deuil ce qui est à l’origine de son état actuel. Dans ce contexte, le Dr G.________ distingue d’une part le décès du frère dont les circonstances de l’accident avaient causé la mort, de l’accident stricto sensu, soit la chute de la voiture et de ses trois occupants d’une hauteur de six mètres environ d’un pont, en travers de la bande d’arrêt d’urgence et la bordure herbeuse de la chaussée montagne de l’autoroute du Léman. bb) L’avis expertal de février 2019 auquel se réfère l’intimée pour retenir que l'état de santé du recourant n’est plus en lien de causalité avec l’accident du 15 mars 1992, ce qui justifierait la suppression du droit à la rente au 31 mai 2019 par voie de révision au sens de l'art. 17 LPGA, ne peut se voir accorder valeur probante.</w:t>
      </w:r>
    </w:p>
    <w:p>
      <w:r>
        <w:t>- 16 - C’est le lieu de rappeler que dans le cas d’une assurée qui avait perdu la maîtrise de son véhicule causant la mort de sa mère puis avait présenté un tableau clinique s’inscrivant dans un deuil pathologique de type mélancolique, le Tribunal fédéral a jugé, en lien avec l’examen du lien de causalité naturelle pour le maintien du droit à une rente d’invalidité de l’assurance-accidents, qu’il était « artificiel de distinguer le décès de la mère de l’assurée dans l’accident, ainsi que le sentiment de culpabilité de l’assurée qui s’en était suivi, d’une part, de l’accident lui-même, d’autre part » (TF U 18/07 du 7 février 2008, consid. 2.4). En l’occurrence, il paraît en effet artificiel de distinguer le décès du frère de l’assuré dans l’accident, ainsi que le sentiment de culpabilité de l’intéressé qui s’en est suivi, d’une part, de l’accident lui-même, d’autre part ; on ne peut ainsi pas considérer, comme le fait l’expert, qu’après écoulement du temps, les troubles psychiques ont pu être causés par le décès du frère et le sentiment de culpabilité, mais pas par l’accident. La mort du frère est une conséquence directe de l’accident et le recourant conserve un sentiment de culpabilité qui est lié au déroulement de l’accident puisqu’il conduisait le véhicule dont il a perdu la maîtrise sur chaussée mouillée. Ces éléments font partie des circonstances de l’accident et en sont à la fois les conséquences. Ce sentiment de culpabilité n’existerait en effet pas si l’accident n’avait pas eu lieu. A ce propos, il importe de relever que ce sont les mêmes plaintes et les mêmes constats que lors de la première décision qui prévalent aujourd’hui encore (cauchemars avec l’agitation des secours lors de l’accident, l’angoisse puis le désespoir liés au décès du frère peu après au CHUV, le sentiment de culpabilité, etc.). En 1993, l’expert L.________ a retenu le diagnostic incapacitant de décompensation grave chez une personne psychotique justifiant un pronostic « catastrophique », avec la précision que la « possibilité que Monsieur O.________ reprenne un jour un travail est pratiquement nulle ». Puis en 1996, le diagnostic incapacitant de tableau clinique de mélancolie dans le cadre d’un état de stress post-traumatique (F43.1) a été posé par les experts au DUPA du CHUV. Au status, il a été constaté un assuré dégageant une « impression d’intense souffrance psychique » ; orienté dans le temps et l’espace, celui-</w:t>
      </w:r>
    </w:p>
    <w:p>
      <w:r>
        <w:t>- 17 - ci s’exprimait d’une voix basse et monotone dans un français excellent, bien que le discours était pauvre et rétréci sur des thèmes mélancoliques. Il n’a pas été mis en évidence d’hallucinations ; à certains instants il a été constaté des idées de persécution peu systématisées, l’assuré se sentant l’objet de tracasseries de la part du monde entier, médecins, police, assurances. Face au tableau clinique observé et résistant au traitement d’évolution « dramatique et défavorable », qualifiant le pronostic de « particulièrement sombre », les experts ont retenu une totale incapacité de travail « à court, moyen et long terme ». Ces constatations et conclusions n’ont pas été remises en cause par la suite ; ainsi, en décembre 2004, posant le diagnostic incapacitant de trouble dissociatif mixte rappelant le « syndrome de Ganser » (F44.8), l’expert Q.________ fait savoir que l’assuré a « sombré dans un état d’allure pseudo-confusionnelle » et que « la situation, après 12 ans d’évolution, est complètement figée dans un état où l’expertisé semble inapte à toute activité exigeant un minimum de responsabilité personnelle. Autrement dit sa capacité de travail doit être considérée comme nulle, et cela de manière durable ». A dires d’expert, malgré un traitement psychiatrique régulier, seul un « choc émotionnel », par nature imprévisible et incontrôlable était éventuellement apte à modifier la symptomatologie. Quelques mois avant l’expertise du Dr G.________, confirmant le diagnostic d’état de stress post-traumatique (F43.1) associé à un épisode dépressif dont la gravité va de sévère à moyen (F32.9 – F32.1), le psychiatre traitant depuis juin 1992 (Dr W.________) a, quant à lui, fait part d’un tableau clinique qui « n’a que très peu évolué au cours du temps » ; son patient, dont les plaintes formulées n’avaient pratiquement pas évolué depuis le début, demeurait hanté toutes les nuits par des cauchemars dans lesquels il revivait l’accident, la mort de son frère et l’agitation des secours. Il se réveillait angoissé et tendu. Sa lutte contre l’envahissement anxieux consistait à marcher sans but à travers la ville, jusqu’à obtenir un épuisement physique. Son discours restait extrêmement pauvre, centré sur les troubles somatiques et les</w:t>
      </w:r>
    </w:p>
    <w:p>
      <w:r>
        <w:t>- 18 - cauchemars obsédants lors desquels il revivait son accident. Quand il n’errait pas en ville, il ne pouvait se passer de la présence de sa femme qu’il « sui[vai]t comme un petit chien ». Le Dr W.________ a conclu que « la situation de [son] patient [était] celle d’un homme souffrant depuis plus d’un quart de siècle d’un trouble dépressif de forte intensité qui évolu[ait] dans une chronicité pernicieuse. Le niveau de fonctionnement [était] très perturbé avec des limitations majeures dans tous les domaines et une autonomie très réduite » (rapport du 4 octobre 2018 pp. 2 et 3). Selon l’expert G.________, vu la durée de la persistance de l’atteinte au-delà de la norme, le recourant présenterait un deuil pathologique qu’il explique par une certaine fragilité de la personnalité sous-jacente (expertise du 28 février 2019 p. 30). Or, l’expert relève l’absence de troubles psychiques antérieurs à l’accident et l’absence de trouble majeur de la personnalité avant l’accident (expertise du 28 février 2019 p. 12) ; il n’y a donc pas d’état maladif préexistant, ce qui avait déjà été constaté à l’époque. On ne se trouve pas dans une situation où l’accident assuré ne jouerait désormais plus aucun rôle dans le maintien de la symptomatologie en cause, qui serait actuellement attribuable à l’évolution d’un état antérieur (statu quo sine) puisque ce dernier n’est pas démontré. On note en outre que le recourant avait déjà perdu deux frères, l’un dans une course en montagne en 1985, et l’autre pendant la guerre du Kosovo en 1999, sans que ces deuils n’aient provoqué d’atteintes psychiques chez l’assuré. C’est donc bien l’accident qui est toujours à l’origine de l’état de santé actuel du recourant. Le jugement du 2 février 1995 du Tribunal des assurances du canton de Vaud indiquait déjà que l’accident était objectivement de nature à provoquer les perturbations ressenties et que c’était l’aggravation des troubles et la persistance de ceux-ci qui avaient un caractère pathologique (TASS AA 36/93 – 50/1995 &amp; AA 42/93 – 51/1995 du 2 février 1995, consid. 4e). Ainsi, même en admettant l’existence d’une évolution maladive, l’évolution pathologique constatée devrait être imputée de manière prépondérante à l’accident.</w:t>
      </w:r>
    </w:p>
    <w:p>
      <w:r>
        <w:t>- 19 - Pour admettre l’existence d’un lien de causalité naturelle entre l’événement dommageable de caractère accidentel et l’atteinte à la santé, il n’est pas nécessaire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 119 V 335 consid. 1 ; 118 V 286 consid. 1b et les références). Aussi faut-il admettre l’existence du lien de causalité naturelle litigieux. f) Il n’y a pas d’autres facteurs de changement des circonstances qui sont invoqués. En particulier, il est admis que l’atteinte provoque toujours une incapacité de travail totale. En l’absence de changement dans les circonstances permettant de déterminer le lien de causalité, il n’y a pas de motif de révision de la prestation au sens de l’art. 17 al. 1 LPGA et la décision attaquée doit donc être annulée. Aussi, en présence d’un accident de gravité moyenne, à la limite des accidents graves, selon la classification établie par la jurisprudence relative à l’appréciation de la causalité adéquate en cas d’affections psychiques (ATF 115 V 133 consid. 6c/aa ; 403 consid. 5c/aa ; TF 8C_775/2017 du 13 juin 2018 consid. 5.2), dont les seules circonstances suffisent à admettre le lien de causalité adéquate, l’intimée reste tenue de servir ses prestations d’assurance au-delà du 31 mai 2019. Le recours sera admis sur ce point.</w:t>
      </w:r>
    </w:p>
    <w:p>
      <w:r>
        <w:rPr>
          <w:b/>
        </w:rPr>
        <w:t>E. 5</w:t>
      </w:r>
    </w:p>
    <w:p>
      <w:r>
        <w:t>Il convient d’examiner le droit du recourant à bénéficier de l’assistance gratuite d’un conseil juridique au sens de l’art. 37 al. 4 LPGA.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TF 9C_489/2012 du 18 février 2013 consid. 2 ; UELI KIESER, ATSG- Kommentar, 3ème éd., 2015, n. 27 ad art. 37 LPGA).</w:t>
      </w:r>
    </w:p>
    <w:p>
      <w:r>
        <w:t>- 20 - Le point de savoir si les conditions de l'assistance sont réalisées doit être examiné à l'aune de critères plus sévères dans la procédure administrative que dans la procédure judiciaire. En effet, l'art. 61 let. f LPGA, applicable à la procédure judiciaire, parle d'accorder l'assistance judiciaire gratuite lorsque les circonstances le « justifient », tandis que l'art. 37 al. 4 LPGA, applicable à la procédure administrative, parle d'accorder l'assistance gratuite d'un conseil juridique lorsque les circonstances « l'exigent » (TF 9C_964/2010 du 30 mai 2011 consid. 3 ; voir aussi TF I 127/07 du 7 janvier 2008 consid. 4.3 ; TFA I 676/04 du 30 mars 2006 consid. 6.2 ; KIESER, op. cit., nos 30 et 35 ad art. 37 LPGA). b) Selon la jurisprudence,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 même des connaissances juridiques suffisantes et que l'intérêt au prononcé d'un jugement justifierait la charge des frais qui en découlent (ATF 130 I 180 consid. 2 ; TF 8C_297/2008 du 23 septembre 2008 consid.</w:t>
      </w:r>
    </w:p>
    <w:p>
      <w:r>
        <w:rPr>
          <w:b/>
        </w:rPr>
        <w:t>E. 6</w:t>
      </w:r>
    </w:p>
    <w:p>
      <w:r>
        <w:t>a) En définitive, il y a lieu d’admettre partiellement le recours en ce sens que la décision du 20 septembre 2019 de mettre fin aux prestations au 31 mai 2019 est annulée mais qu’elle est confirmée en ce qui concerne le refus du bénéfice de l’assistance juridique dans la procédure administrative. A ce jour et compte tenu de l’issue du litige, la conclusion du recourant tendant à ce que « l’effet suspensif est restitué à l’opposition et octroyé au recours » n’a plus d’objet.</w:t>
      </w:r>
    </w:p>
    <w:p>
      <w:r>
        <w:t>- 23 - b) Il n’y a pas lieu de percevoir de frais judiciaires, la procédure étant gratuite (art. 61 let. a LPGA). Le recourant, qui obtient partiellement gain de cause avec l’assistance d’un mandataire qualifié, a droit à des dépens réduits, qu’il convient de fixer à 2'000 fr., débours et TVA compris (art. 61 let. g LPGA, art. 10 et 11 TFJDA [tarif du 28 avril 2015 des frais judiciaires et des dépens en matière administrative ; BLV 173.36.5.1]), et de mettre à la charge de l’intimée. c) Par décision du 13 novembre 2019, le recourant a été mis au bénéfice de l’assistance judiciaire avec effet au 22 octobre 2019 et a obtenu à ce titre la commission d’un avocat d’office en la personne de Me Gérald Mouquin. Sur la base de la liste des opérations produite le 20 mai 2020, il convient d'arrêter à 2'250 fr. l'indemnité de Me Mouquin, correspondant à douze heures et trente minutes de travail, au tarif horaire de 180 fr., somme à laquelle il y a lieu d’ajouter la TVA au taux de 7,7 %, soit un total de 2’423 fr. 25. A ce montant, il convient d’ajouter les débours fixés forfaitairement à 5 % du défraiement hors taxe (art. 3bis al. 1 RAJ [règlement cantonal vaudois du 7 décembre 2010 sur l’assistance judiciaire en matière civile ; BLV 211.02.3]), avec TVA au taux de 7,7 % en sus, soit 121 fr. 15. L’indemnité totale sera donc arrêtée à 2’544 fr. 40 (2'423 fr. 25 + 121 fr. 15). L’indemnité d’office n’étant que partiellement couverte par les dépens, le solde, soit 544 fr. 40 (2'544 fr. 40 – 2’000 fr.), sera provisoirement supporté par le canton. Le recourant étant rendu attentif au fait qu’il est tenu d’en rembourser le montant dès qu’il sera en mesure de le faire (art. 123 al. 1 CPC [code de procédure civile du 19 décembre 2008 ; RS 272], applicable par renvoi de l’art. 18 al. 5 LPA-VD). Il incombe</w:t>
      </w:r>
    </w:p>
    <w:p>
      <w:r>
        <w:t>- 24 -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