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ZA19.046606 vom 5. Oktober 2020</w:t>
      </w:r>
    </w:p>
    <w:p>
      <w:r>
        <w:t>VD Tribunal cantonal, 2020-10-05, FR</w:t>
      </w:r>
    </w:p>
    <w:p>
      <w:r>
        <w:rPr>
          <w:b/>
        </w:rPr>
        <w:t xml:space="preserve">Quelle: </w:t>
      </w:r>
      <w:r>
        <w:t>https://mcp.opencaselaw.ch/entscheid/vd_gerichte_ZA19.046606</w:t>
      </w:r>
    </w:p>
    <w:p>
      <w:r>
        <w:t>FR: VD_GERICHTE ZA19.046606 du 5 octobre 2020</w:t>
      </w:r>
    </w:p>
    <w:p>
      <w:r>
        <w:t>IT: VD_GERICHTE ZA19.046606 del 5 ottobre 2020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Dans ces conditions, une expertise apparaît inutile et la requête formulée en ce sens doit dès lors être rejetée. Le juge peut en</w:t>
      </w:r>
    </w:p>
    <w:p>
      <w:r>
        <w:t>- 43 - effet mettre fin à l'instruction lorsque les preuves administrées lui ont permis de se forger une conviction et que, procédant d'une manière non arbitraire à une appréciation anticipée des preuves qui lui sont encore proposées, il a la conviction qu'elles ne pourraient pas l'amener à modifier son avis (ATF 134 I 140 consid. 5.3 ; 131 I 153 consid. 3 ; 130 II 425 consid. 2).</w:t>
      </w:r>
    </w:p>
    <w:p>
      <w:r>
        <w:rPr>
          <w:b/>
        </w:rPr>
        <w:t>E. 11</w:t>
      </w:r>
    </w:p>
    <w:p>
      <w:r>
        <w:t>a) Au vu de ce qui précède, le recours doit être rejeté et la décision sur opposition du 19 septembre 2019 confirmée. b) Il n’y a pas lieu de percevoir de frais judiciaires, la procédure étant gratuite (art. 61 let. a LPGA), ni d’allouer de dépens, dès lors que le recourant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