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ZA19.040788 vom 9. Oktober 2020</w:t>
      </w:r>
    </w:p>
    <w:p>
      <w:r>
        <w:t>VD Tribunal cantonal, 2020-10-09, FR</w:t>
      </w:r>
    </w:p>
    <w:p>
      <w:r>
        <w:rPr>
          <w:b/>
        </w:rPr>
        <w:t xml:space="preserve">Quelle: </w:t>
      </w:r>
      <w:r>
        <w:t>https://mcp.opencaselaw.ch/entscheid/vd_gerichte_ZA19.040788</w:t>
      </w:r>
    </w:p>
    <w:p>
      <w:r>
        <w:t>FR: VD_GERICHTE ZA19.040788 du 9 octobre 2020</w:t>
      </w:r>
    </w:p>
    <w:p>
      <w:r>
        <w:t>IT: VD_GERICHTE ZA19.040788 del 9 ottobre 2020</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compte tenu de la suspension du délai durant les féries estivales (art. 38 al. 4 let. b et 60 LPGA)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question de savoir si l’événement survenu le 11 février 2019 peut être qualifié d’accident ou de lésion corporelle assimilée à un accident et si ses conséquences doivent être prises en charge par l’intimée.</w:t>
      </w:r>
    </w:p>
    <w:p>
      <w:r>
        <w:rPr>
          <w:b/>
        </w:rPr>
        <w:t>E. 3</w:t>
      </w:r>
    </w:p>
    <w:p>
      <w:r>
        <w:t>a) Aux termes de l’art. 6 al. 1 LAA, les prestations d’assurance sont allouées en cas d’accident professionnel, d’accident non professionnel et de maladie professionnelle.</w:t>
      </w:r>
    </w:p>
    <w:p>
      <w:r>
        <w:t>- 7 -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En outre, l’atteinte doit s’inscrire dans un rapport de causalité naturelle et adéquate avec le facteur extérieur extraordinaire. b) Par facteur extérieur, il faut comprendre une cause externe et non interne au corps humain (ATF 139 V 327 consid. 3.3.1). Par ailleurs, il résulte de la définition même de l’accident que le caractère extraordinaire de l’atteinte ne concerne pas les effets du facteur extérieur, mais seulement ce facteur lui-même. Dès lors, il importe peu que le facteur extérieur ait entraîné des conséquences graves ou inattendues. Il est considéré comme extraordinaire lorsqu’il excède, dans le cas particulier, le cadre des événements et des situations que l’on peut, objectivement, qualifier de quotidiens ou d’habituels, autrement dit des incidents et péripéties de la vie courante (ATF 142 V 219 consid. 4.3.1 ; 134 V 72 consid. 4.1.1 et 4.3.1 ; 129 V 402 consid. 2.1 ; Stéphanie Perrenoud, in Anne-Sylvie Dupont/Margit Moser-Szeless [édit.], Loi sur la partie générale des assurances sociales, Commentaire romand, Bâle 2018, n° 25 ad art. 4). L’existence d’un facteur extérieur extraordinaire générant un risque de lésion accru doit être admise lorsqu’un geste quotidien représente une sollicitation du corps plus élevée que ce qui est physiologiquement normal ou psychologiquement contrôlé (Jean-Maurice Frésard/Margit Moser-Szeless, L’assurance-accidents obligatoire, in Soziale Sicherheit, Schweizerisches Bundesverwaltungsrecht [SBVR], Vol. XIV, 3e éd., Bâle 2016, n° 88 p. 922). c) S’agissant des lésions qui surviennent lors de la pratique d’un sport, le Tribunal fédéral considère que l’existence d’un événement</w:t>
      </w:r>
    </w:p>
    <w:p>
      <w:r>
        <w:t>- 8 - accidentel doit être niée lorsque et dans la mesure où le risque inhérent à l’exercice sportif en cause se réalise. En d’autre termes, il a souvent nié le caractère extraordinaire de la cause externe lorsqu’une atteinte à la santé se produit alors que le sport est exercé sans que survienne un incident particulier, la notion d’accident n’étant réalisée que si l’exercice sportif se déroule autrement que ce qui est prévu (Frésard/Moser-Szeless, op. cit., n° 100 p. 925 s. ; Perrenoud, op. cit., n° 30 ad art. 4). Un accident a été admis dans le cas d’un cavalier qui s’est blessé parce que son cheval est tombé tête la première (TFA U 296/05 du 14 février 2006 consid. 2.3) ou d’un footballeur amateur ayant subi une torsion du genou droit à la suite d’une obstruction de son adversaire (RAMA 1993 n° U 165 58 ss). Il a en revanche été nié pour un joueur professionnel de hockey sur glace qui s’est blessé à l’épaule lors d’un tir en frappant la glace avec sa crosse (TF 8C_141/2009 du 2 juillet 2009 consid. 7.2), pour un footballeur qui, lors d’un tir, a été victime d’une élongation d’un muscle à la cuisse (TF U 611/06 du 12 mars 2007 consid. 4) ou encore pour un assuré qui s’est blessé à la nuque en effectuant une roulade en avant durant une leçon de gymnastique (TFA U 98/01 du 28 juin 2002) ou en exécutant de manière légèrement imparfaite une figure de gymnastique ou un autre mouvement dans l’exercice d’un sport (TFA U 17/02 du 10 décembre 2002 consid. 2 ; pour d’autres exemples : Frésard/Moser-Szeless, loc. cit. ; Perrenoud, loc. cit.). d) En l’occurrence, l’intimée considère que l’événement survenu le 11 février 2019 ne constitue pas un accident au sens de la loi. A cet égard, il y a lieu de relever à la lumière des explications contenues dans la déclaration d’accident du 12 février 2019 et dans le questionnaire rempli le 18 février 2019 à la demande de l’intimée que la torsion du genou droit est survenue dans une phase usuelle de jeu (réception d’un saut à la suite d’un jeu de tête lors du changement de direction qui s’en est suivi), laquelle est intrinsèquement liée à la pratique du football. Dans le questionnaire précité, le recourant d’ailleurs a confirmé qu’il pratiquait régulièrement ce sport et que la partie s’était</w:t>
      </w:r>
    </w:p>
    <w:p>
      <w:r>
        <w:t>- 9 - déroulée dans des circonstances normales, sans qu’il ne se produise d’événement particulier. Ce n’est que dans un deuxième temps – en l’occurrence au stade de l’opposition – que le recourant a produit les dépositions écrites de deux joueurs ayant participé avec lui au match de football du 11 février 2019. Ces deux témoignages n’emportent toutefois pas la conviction de la Cour de céans. En effet, contrairement aux affirmations de l’un des témoins, le recourant n’a nullement évoqué avoir été déstabilisé par un joueur adverse lors d’un contact aérien, ce qui aurait provoqué un mouvement ayant causé une mauvaise réception. Il n’a pas non plus mentionné être tombé, alors que les deux témoins ont parlé d’une chute après un contact avec un joueur adverse. On ne peut que s’étonner de l’absence de notion de contact ou de chute de la part du recourant, alors même qu’il s’agit d’éléments qui ne sauraient être considérés comme secondaires dans le déroulement d’un accident. Il convient par ailleurs d’apprécier avec une certaine circonspection, compte tenu des circonstances dans lesquelles elles ont été faites, les explications données après coup et à sa demande par des compagnons de jeu du recourant. A cet égard, il est le lieu de rappeler qu’il convient en règle générale d’accorder la préférence aux premières déclarations de la personne assurée, faites alors qu’elle en ignorait peut-être les conséquences juridiques, les explications nouvelles pouvant être – consciemment ou non – le fruit de réflexions ultérieures (ATF 142 V 590 consid. 5.2 ; 121 V 45 consid. 2a ; TF 8C_238/2018 du 22 octobre 2018 consid. 6). L’atteinte à la santé considérée est ainsi apparue sans qu’aucun facteur extérieur extraordinaire n’intervienne ; elle constitue au contraire la réalisation d’un risque inhérent à l’activité sportive pratiquée. Les circonstances qui ont entraîné l’atteinte à la santé ne relèvent dès lors pas d’un accident au sens juridique du terme, faute du caractère extraordinaire du facteur extérieur dommageable.</w:t>
      </w:r>
    </w:p>
    <w:p>
      <w:r>
        <w:t>- 10 -</w:t>
      </w:r>
    </w:p>
    <w:p>
      <w:r>
        <w:rPr>
          <w:b/>
        </w:rPr>
        <w:t>E. 4</w:t>
      </w:r>
    </w:p>
    <w:p>
      <w:r>
        <w:t>Dans un second moyen, le recourant fait valoir que, à défaut de résulter d’une atteinte accidentelle, son atteinte à la santé constituerait une lésion corporelle assimilée à un accident. a) Selon l’art. 6 al. 2 LAA, l’assurance alloue aussi ses prestations pour les lésions corporelles suivantes, pour autant qu’elles ne soient pas dues de manière prépondérante à l’usure ou à une maladie : a. les fractures ; b. les déboîtements d’articulations ; c. les déchirures du ménisque ; d. les déchirures de muscles ; e. les élongations de muscles ; f. les déchirures de tendons ; g. les lésions de ligaments ; h. les lésions du tympan. Le législateur a établi une présomption réfragable de prise en charge des lésions corporelles énumérées à l’art. 6 al. 2 LAA par l’assureur-accidents, ce dernier ayant le fardeau de la preuve d’une éventuelle libération (Markus Hüsler, Erste UVG-Revision : wichtigste Änderungen und mögliche Probleme bei der Umsetzung in SZS/RSAS 2017, pp. 26 ss, spéc. p. 33). Pour réfuter cette présomption, l’assureur- accidents doit prouver que l’atteinte à la santé est due de manière prépondérante à l’usure ou à une maladie. Le critère du facteur externe est explicitement supprimé (Message additionnel du Conseil fédéral du 19 septembre 2014 relatif à la modification de la loi fédérale sur l’assurance- accidents [Assurance-accidents et prévention des accidents ; organisation et activités accessoires de la CNA], pp. 7702-7703). b) Selon la jurisprudence du Tribunal fédéral (TF 8C_865/2013 du 13 mars 2014 consid. 4.2), les lésions du cartilage ne sont pas des atteintes visées à l’art. 6 al. 2 LAA. La notion de fracture doit être comprise dans le sens d’une fracture osseuse. Une lésion du cartilage articulaire ne peut pas être assimilée à une fracture d’un os. Il n’y a en</w:t>
      </w:r>
    </w:p>
    <w:p>
      <w:r>
        <w:t>- 11 - effet pas de raison de différencier les lésions du cartilage selon que celui- ci soit sur l’os, comme dans le cas du cartilage articulaire, ou largement indépendant tel que la cloison nasale ou l’oreille. Cela vaut d’autant plus que l’art. 6 al. 2 LAA mentionne une catégorie particulière de cartilage dont la lésion est assimilée à un accident, à savoir la déchirure du ménisque (art. 6 al. 2 let. c LAA). Du caractère exhaustif de cette disposition (ATF 116 V 136 consid. 4a à propos de l’art. 9 al. 2 OLAA), il faut déduire que les autres lésions du cartilage ne sont pas assimilées à un accident. c) En l’espèce, il ressort des pièces médicales au dossier, en particulier du compte-rendu d’IRM du 22 février 2019, que le recourant n’a présenté aucune des lésions corporelles citées à l’art. 6 al. 2 LAA mais une déchirure du cartilage. Or une fracture du cartilage rotulien (cf. rapport du Dr E.________ du 25 février 2019) ne peut pas être considérée comme une lésion assimilée à un accident au sens de l’art. 6 al. 2 LAA. Comme l’a relevé l’intimée, un cartilage, par sa nature et aussi – quoique à un moindre effet – par sa fonction, n’est pas assimilable à une bande de tissu conjonctif fibreux et élastique qu’est le ligament. De même, un œdème de l’os sous-chondral de la rotule ou un épanchement intra-articulaire ne constituent pas non plus une telle lésion (cf. rapport du Dr P.________ du 13 juin 2019). C’est ainsi à juste titre que la décision attaquée a nié la présence d’une lésion assimilée à un accident.</w:t>
      </w:r>
    </w:p>
    <w:p>
      <w:r>
        <w:rPr>
          <w:b/>
        </w:rPr>
        <w:t>E. 5</w:t>
      </w:r>
    </w:p>
    <w:p>
      <w:r>
        <w:t>Le dossier étant complet et permettant à la Cour de céans de statuer en pleine connaissance de cause, on ne voit pas en quoi la mise en œuvre d’une expertise telle que sollicitée par le recourant serait de nature à modifier les considérations qui précèdent. Il y a donc lieu d’y renoncer, par appréciation anticipée des preuves (ATF 144 II 427 consid. 3.1.3 ; 140 I 285 consid. 6.3.1).</w:t>
      </w:r>
    </w:p>
    <w:p>
      <w:r>
        <w:rPr>
          <w:b/>
        </w:rPr>
        <w:t>E. 6</w:t>
      </w:r>
    </w:p>
    <w:p>
      <w:r>
        <w:t>a) En définitive, le recours doit être rejeté et la décision sur opposition attaquée confirmée.</w:t>
      </w:r>
    </w:p>
    <w:p>
      <w:r>
        <w:t>- 12 - b) Il n’y a pas lieu de percevoir de frais judiciaires, la procédure étant gratuite (art. 61 let. a LPGA), ni d’allouer de dépens, dès lors que le recourant n’obtient pas gain de cause (art. 61 let. g LPGA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