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ZA19.040770 vom 15. Dezember 2020</w:t>
      </w:r>
    </w:p>
    <w:p>
      <w:r>
        <w:t>VD Tribunal cantonal, 2020-12-15, FR</w:t>
      </w:r>
    </w:p>
    <w:p>
      <w:r>
        <w:rPr>
          <w:b/>
        </w:rPr>
        <w:t xml:space="preserve">Quelle: </w:t>
      </w:r>
      <w:r>
        <w:t>https://mcp.opencaselaw.ch/entscheid/vd_gerichte_ZA19.040770</w:t>
      </w:r>
    </w:p>
    <w:p>
      <w:r>
        <w:t>FR: VD_GERICHTE ZA19.040770 du 15 décembre 2020</w:t>
      </w:r>
    </w:p>
    <w:p>
      <w:r>
        <w:t>IT: VD_GERICHTE ZA19.040770 del 15 dicembre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- 20 - assurances compétent (art. 56 et 58 LPGA),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déférée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du recourant à des prestations d’assurance au-delà du 28 novembre 2008 en relation avec l’accident du 7 avril 2008 exclusivement. Il ne porte pas sur le droit à des prestations des suites de l’accident du 9 mai 1996. c)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rPr>
          <w:b/>
        </w:rPr>
        <w:t>E. 3</w:t>
      </w:r>
    </w:p>
    <w:p>
      <w:r>
        <w:t>Dans un grief qu’il convient d’examiner en premier lieu, le recourant remet en cause l’impartialité du Dr N.________ en raison de liens</w:t>
      </w:r>
    </w:p>
    <w:p>
      <w:r>
        <w:t>- 21 - professionnels passés, remontant à l’an 2000, entre celui-ci et l’intimée, lesquels seraient incompatibles avec la désignation de ce médecin en tant qu’expert. a) L’assuré peut soulever des objections de nature formelle ou matérielle contre la mise en œuvre d’une expertise.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9C_ 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 b) En l’occurrence, le moyen tiré de l'apparence de prévention à l’égard du Dr N.________ est soulevé tardivement. En effet, en communiquant sa décision du 10 mars 2015 à l’assurance de protection juridique du recourant, la CNA a respecté ses droits de participation à l’expertise puisqu’elle a confirmé la désignation du DrN.________ en qualité d’expert et signifié à Fortuna que sauf avis contraire formulé dans les dix</w:t>
      </w:r>
    </w:p>
    <w:p>
      <w:r>
        <w:t>- 22 - jours, son accord était présumé acquis. Il incombait en conséquence au recourant de faire valoir ses motifs de récusation dans ce délai et d’exiger une décision formelle.</w:t>
      </w:r>
    </w:p>
    <w:p>
      <w:r>
        <w:rPr>
          <w:b/>
        </w:rPr>
        <w:t>E. 4</w:t>
      </w:r>
    </w:p>
    <w:p>
      <w:r>
        <w:t>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seul fait que des symptômes douloureux ne se sont manifestés qu’après la survenance d’un accident ne suffit pas à établir un rapport de causalité naturelle avec cet accident (raisonnement post hoc ergo propter hoc ; ATF 119 V 335 consid. 2b/bb ; TF 8C_383/2018 du 10</w:t>
      </w:r>
    </w:p>
    <w:p>
      <w:r>
        <w:t>- 23 -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w:t>
      </w:r>
    </w:p>
    <w:p>
      <w:r>
        <w:rPr>
          <w:b/>
        </w:rPr>
        <w:t>E. 4.2</w:t>
      </w:r>
    </w:p>
    <w:p>
      <w:r>
        <w:t>; TF 8C_357/2007 du 31 janvier 2008 consid. 3.2).</w:t>
      </w:r>
    </w:p>
    <w:p>
      <w:r>
        <w:rPr>
          <w:b/>
        </w:rPr>
        <w:t>E. 5</w:t>
      </w:r>
    </w:p>
    <w:p>
      <w:r>
        <w:t>En vertu de l’art. 36 LAA, les prestations pour soins, les remboursements de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w:t>
      </w:r>
    </w:p>
    <w:p>
      <w:r>
        <w:t>- 24 - prendre à sa charge le traitement de l’état maladif préexistant, dans la mesure où il s’est manifesté à l’occasion de l’accident ou a été aggravé par ce dernier (TF 8C_595/2017 du 16 mai 2018 consid. 3.2 et les références citées).</w:t>
      </w:r>
    </w:p>
    <w:p>
      <w:r>
        <w:rPr>
          <w:b/>
        </w:rPr>
        <w:t>E. 6</w:t>
      </w:r>
    </w:p>
    <w:p>
      <w:r>
        <w:t>a) Aux termes de l'art. 6 al. 2 aLAA, dans sa teneur en vigueur jusqu'au 31 décembre 2016 (applicable en l'espèce compte tenu de la date de l'accident, conformément à l'alinéa 1 des dispositions transitoires relatives à la modification du 25 septembre 2015 de la LAA ; cf. consid. 2c supra), le Conseil fédéral peut inclure dans l'assurance des lésions corporelles qui sont semblables aux conséquences d'un accident. En vertu de cette délégation de compétence, le Conseil fédéral a édicté l'art. 9 al. 2 aOLAA, dans sa teneur en vigueur jusqu'au 31 décembre 2016,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fractures (let. a), les déboîtements d'articulations (let. b), les déchirures du ménisque (let. c), les déchirures de muscles (let. d), les élongations de muscles (let. e), les déchirures de tendons (let. f), les lésions de ligaments (let. g) et les lésions du tympan (let. h). Cette liste est exhaustive (ATF 116 V 136 consid. 4a et 116 V 145 consid. 2b). b) Selon la jurisprudence relative aux art. 6 al. 2 aLAA et 9 al. 2 aOLAA,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123 V 43</w:t>
      </w:r>
    </w:p>
    <w:p>
      <w:r>
        <w:t>- 25 - consid. 2b ; 116 V 145 consid. 2c et 114 V 298 consid. 3c). Toujours selon cette jurisprudence, on ne pouvait admettre qu'une lésion assimilée – malgré son origine en grande partie dégénérative – avait fait place à l'état de santé dans lequel l'assuré se serait trouvé sans l'intervention d'un facteur extérieur (statu quo sine), tant que le caractère désormais exclusivement maladif ou dégénératif de l'atteinte à la santé n'était pas clairement établi. Sinon, on se serait à nouveau trouvé confronté, immédiatement après avoir admis l'existence d'une lésion assimilée à un accident, à la difficulté de distinguer entre l'origine accidentelle et maladive de cette atteinte (cf. TF 8C_358/2015 du 14 mars 2016 consid. 6.2.1; 8C_357/2007 du 31 janvier 2008 consid. 2 et 8C_698/2007 du 27 octobre 2008 consid. 4.2; TFA U 220/02 du 6 août 2003 consid. 2). c) Ces règles étaient également applicables lorsqu’une des lésions mentionnées à l’art. 9 al. 2 OLAA était survenue lors d’un événement répondant à la définition de l’accident au sens de l’art. 6 al. 1 LAA. En effet, si l’influence d’un facteur extérieur, soudain et involontaire suffisait pour ouvrir droit à des prestations de l’assureur-accidents pour les suites d’une lésion corporelle mentionnée à l’art. 9 al. 2 OLAA, cette réglementation spécifique trouvait a fortiori application dans l’éventualité où ce facteur revêtait un caractère extraordinaire. Il fallait néanmoins que la lésion corporelle (assimilée) puisse être rattachée à l’accident en cause car, à défaut d’un événement particulier à l’origine de l’atteinte à la santé, il y avait lieu de conclure à une lésion exclusivement maladive ou dégénérative (TF 8C_763/2015 du 11 juillet 2016 consid. 3.3, 8C_606/2013 du 24 juin 2014, consid. 3.3, 8C_698/2007 du 27 octobre 2008 consid.</w:t>
      </w:r>
    </w:p>
    <w:p>
      <w:r>
        <w:rPr>
          <w:b/>
        </w:rPr>
        <w:t>E. 7</w:t>
      </w:r>
    </w:p>
    <w:p>
      <w:r>
        <w:t>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w:t>
      </w:r>
    </w:p>
    <w:p>
      <w:r>
        <w:t>- 26 -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 cf. TF 9C_104/2014 du 30 mai 2014 consid. 4.1, 8C_373/2013 du 11 mars 2014 consid. 5.2 et 9C_22/2011 du 16 mai 2011 consid. 5). b)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w:t>
      </w:r>
    </w:p>
    <w:p>
      <w:r>
        <w:rPr>
          <w:b/>
        </w:rPr>
        <w:t>E. 8</w:t>
      </w:r>
    </w:p>
    <w:p>
      <w:r>
        <w:t>a) En l’espèce, l'intimée a retenu que les troubles ne sont plus en rapport de causalité avec l'accident assuré au-delà du 28 novembre 2008. Elle suit en cela l’expert N.________ pour lequel l'accident du 7 avril 2008, à l’origine d’une simple contusion, a décompensé le cursus dégénératif du genou droit de manière transitoire. Celui-ci estime que le statu quo sine est atteint six mois depuis l’arthroscopie du 28 mai 2008. Cette appréciation médicale est contestée par le recourant qui soutient, pour sa part, que la persistante de problèmes et de séquelles au genou droit est « en lien direct » avec son « grave » accident de 2008 et qu’il présente encore à ce jour « un taux d’incapacité de travail d’à tout le moins 50% ». Il fait valoir les avis des Drs D.________, S.________ et M.________ à l’appui de sa position.</w:t>
      </w:r>
    </w:p>
    <w:p>
      <w:r>
        <w:t>- 27 - b) En l’occurrence, il ressort de l’IRM du 13 mai 2008 ainsi que de l’arthroscopie du 28 mai 2008, consécutives à l’accident du 7 avril 2008, l’existence de déchirures du ménisque du genou droit, soit d’une lésion au sens de l’art. 9 al. 2 OLAA. Par ailleurs, selon l’expert N.________, le recourant était déjà atteint d’une gonarthrose droite lors de l’accident du 7 avril 2008, laquelle était présente depuis plusieurs années et lentement évolutive. En l’espèce, la préexistence de cette pathologie dégénérative est confirmée par l’arthroscopie du 28 mai 2008. Le Dr S.________ relève en effet une chondropathie de grade II à III du condyle externe et de grade III à IV du plateau externe. Des stades dégénératifs aussi avancés ne sauraient se retrouver déjà à quelques semaines d’un accident. Dans son rapport du 25 février 2010, le Dr S.________ précise encore que « les dégâts cartilagineux dans le compartiment externe étaient déjà marqués lors de l’arthroscopie au mois de mai 2008 », confirmant ainsi la préexistence de la gonarthrose. Cette antériorité est également attestée par le rapport du 10 septembre 1997 du Dr W.________, faisant déjà état de signes d’une gonarthrose tricompartimentale débutante mise en évidence par une radiographie du 11 février 1997 et du possible commencement de cette gonarthrose avant l’accident de 1996. Il indiquait également que la méniscectomie externe totale subie en 1996 avait eu et continuerait d’avoir une influence aggravante sur cette arthrose. Quant au Dr D.________, il évoque dans son rapport du 2 avril 2019 des « interventions multiples qui ont été faites sur le ménisque externe » à l’origine de l’arthrose actuelle et indique à ce propos que « la première de ces interventions a toujours été considérée comme traumatique, due à une lésion méniscale attribuée à une entorse survenue en avril 2008 » (cf. rapport du 2 avril 2019 R. 10). C’est manifestement par inadvertance que dans ce rapport, le Dr D.________ impute l’origine de</w:t>
      </w:r>
    </w:p>
    <w:p>
      <w:r>
        <w:t>- 28 - l’arthrose à l’accident d’avril 2008. De fait, la première intervention chirurgicale sur le ménisque a été pratiquée le 10 juin 1996 et non en 2008, et le Dr D.________ indiquait lui-même dans son rapport du 12 novembre 2010 que « les deux arthroscopies avec méniscectomie externe du genou droit opérées en 1996 étaient certainement la cause de la gonarthrose actuelle ». Il le confirmait dans son rapport du 8 avril 2011, dans lequel il retenait des « douleurs et impotence fonctionnelle du genou droit sur importante gonarthrose post-traumatique, 15 ans après arthroscopie et méniscectomie externe itérative », ajoutant que la gonarthrose allait s’aggraver progressivement. Enfin, si dans son rapport du 11 juin 2020, le Dr M.________ pose le diagnostic de gonarthrose droite post-traumatique en le considérant « en relation avec les interventions arthroscopiques du ménisque externe pratiquées dans les suites d’un accident SUVA », donc de l’accident de 2008, ce médecin ne fait nulle mention de l’accident de 1996 et de ses suites opératoires. En l’absence d’appréciation portant sur les suites des deux accidents, ce rapport ne permet pas d’exclure une gonarthrose préexistant à l’accident d’avril 2008. En l’espèce, l’allégation par le recourant d’un lien direct entre l’accident d’avril 2008 et la pathologie actuelle de son genou droit relève de l’adage post hoc ergo propter hoc, lequel ne permet pas d’établir un rapport de causalité naturelle entre un événement et une lésion. c) En présence d’une gonarthrose, il convient d’examiner si et à partir de quand son caractère exclusivement dégénératif est établi, ceci en relation avec l’accident du 7 avril 2008 exclusivement. L’expert N.________ considère que cet événement a décompensé le cursus dégénératif du genou de manière transitoire et que le statu quo sine était atteint six mois après l’arthroscopie du 28 mai 2008. Il explique, s’agissant de la déchirure du ménisque externe, que le geste arthroscopique a consisté à ôter ou régulariser un reliquat méniscal postéro-externe. Ce reliquat n’ayant manifestement pas de rôle</w:t>
      </w:r>
    </w:p>
    <w:p>
      <w:r>
        <w:t>- 29 - stabilisateur ou amortisseur significatif, il n’était pas susceptible de modifier la biomécanique du genou au-delà d’une période de deux à quatre mois, délai nécessaire pour récupérer des effets indirects d’une arthroscopie et pouvant être repoussé de deux mois afin de tenir compte du caractère fragile de certains tissus, potentiellement responsables d’un certain retard dans la récupération fonctionnelle. Cette régularisation ne pouvait influencer plus durablement le cursus dégénératif du genou. L’expert observe encore que le suivi radiologique ultérieur démontre l’absence de décompensation drastique, le genou suivant une évolution dégénérative lente et usuelle. S’agissant du ménisque interne, l’expert indique que le segment méniscal régularisé lors de l’arthroscopie présentait lui aussi une très faible valeur amortissante, ne pouvant pas modifier le cursus du genou, au-delà de six mois. Toujours s’agissant du ménisque interne, il n’apparaît au demeurant pas certain que l’atteinte consiste en une déchirure. En effet, cette atteinte est qualifiée d’irrégularité par le Dr S.________ dans son rapport d’arthroscopie du 28 mai 2008 et l’IRM du 8 mai 2008 ne met pas en évidence d’atteinte de sa surface. Selon l’expert, elle fait l’objet d’une simple régularisation méniscale, ce que confirme l’absence de modification structurelle significative sur les images IRM actuelles. Aucune pièce médicale au dossier ne permet de remettre en cause les observations et conclusions de l’expert quant à un statu quo sine six mois après l’arthroscopie du 28 mai 2008 et à une évolution dégénérative usuelle au-delà de cette date. On relèvera par ailleurs que le rapport d’expertise du Dr N.________ expose un avis à distance de l’événement accidentel, autorisant une analyse rétroactive complète et détaillée, notamment sur la base des documents d’imagerie, de sorte qu’il a une valeur probante prépondérante par rapport aux autres rapports médicaux, ceux-ci étant à l’inverse relativement succincts et ne démontrant en particulier pas en quoi, s’agissant du seul événement du 7 avril 2008, le caractère exclusivement dégénératif de l’atteinte ne serait pas établi au-delà du 28 novembre 2008.</w:t>
      </w:r>
    </w:p>
    <w:p>
      <w:r>
        <w:t>- 30 - d) Cela étant, en présence d’une déchirure méniscale consécutive à l’accident du 7 avril 2008, soit d’une lésion assimilée au sens de l’art. 9 al. 2 OLAA, il doit être admis que le caractère exclusivement dégénératif de l’atteinte est patent dès le 28 novembre 2008. En conséquence, la CNA était légitimée à retenir qu’il n’existait plus, à la date du 28 novembre 2008, de lien de causalité naturelle avec l’accident du 7 avril 2008 et à mettre un terme à ses prestations au 28 novembre 2008. e) Tel serait également le cas en l’absence de toute déchirure méniscale. Dans cette hypothèse, il conviendrait en effet de retenir que l’accident du 7 avril 2008 est à l’origine d’une contusion (rapport du 14 juillet 2008 de la Dre A.________), ayant vraisemblablement causé une aggravation temporaire d’un état dégénératif auparavant asymptomatique. L’assureur ne serait, au regard de l’art. 36 al. 1 LAA et de la jurisprudence corrélative, tenu de fournir les prestations pour le syndrome douloureux directement en lien avec l’accident qu’aussi longtemps que le statu quo sine vel ante n’est pas rétabli. Pour la seule contusion qui aurait résulté de l’accident, l’expert fixe l’avènement du statu quo sine six mois après l’arthroscopie du 28 mai 2008. Il justifie son propos en indiquant ne pas avoir d’éléments objectifs probants caractérisant une rapide ou abrupte décompensation de la gonarthrose droite suite à l’événement du 7 avril 2008 et considère qu’au-delà du 28 novembre 2008, le cursus du genou droit a été manifestement régi par l’arthropathie dégénérative évoluant depuis de nombreuses années. Comme exposé ci-dessus, l’appréciation de l’expert N.________ relative à la survenance du statu quo sine a valeur probante.</w:t>
      </w:r>
    </w:p>
    <w:p>
      <w:r>
        <w:rPr>
          <w:b/>
        </w:rPr>
        <w:t>E. 9</w:t>
      </w:r>
    </w:p>
    <w:p>
      <w:r>
        <w:t>La CNA a également mis un terme au versement de la rente au 31 mars 2019, rente qu’elle a apparemment continué à verser nonobstant l’annulation, par arrêt de la Cour de céans du 2 décembre 2013, de la décision sur opposition du 19 septembre 2011.</w:t>
      </w:r>
    </w:p>
    <w:p>
      <w:r>
        <w:t>- 31 - En l’absence de lien de causalité naturelle entre l’accident du 7 avril 2008 et l’atteinte à la santé incapacitante subsistant au-delà du 28 novembre 2008, le recourant n’a pas droit à une rente. En l’occurrence, la CNA était légitimée à mettre fin à son versement avec effet ex nunc et pro futuro sans procéder par voie de révision (art. 53 al. 1 LPGA) ou de reconsidération (art. 53 al. 2 LPGA), dès l’instant où la décision sur opposition du 19 septembre 2011 octroyant initialement cette rente a été annulée.</w:t>
      </w:r>
    </w:p>
    <w:p>
      <w:r>
        <w:rPr>
          <w:b/>
        </w:rPr>
        <w:t>E. 10</w:t>
      </w:r>
    </w:p>
    <w:p>
      <w:r>
        <w:t>Sur le vu de ce qui précède, un complément d’instruction apparaît inutile et les requêtes formulées en ce sens par le recourant dans ses écritures – à savoir, la production par l’OAI de son dossier complet, son audition personnelle ainsi que la réalisation d’une expertise judiciaire – doivent dès lors être rejetées. Notamment le recourant a eu largement la possibilité de s’exprimer tout au long de la procédure et on ne voit pas en quoi son audition pourrait être utile. De plus, il a produit un rapport complémentaire de son nouveau médecin.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rPr>
          <w:b/>
        </w:rPr>
        <w:t>E. 11</w:t>
      </w:r>
    </w:p>
    <w:p>
      <w:r>
        <w:t>a) Mal fondé, le recours doit en conséquence être rejeté, ce qui entraîne la confirmation de la décision attaquée. b) Il n’y a pas lieu de percevoir de frais judiciaires, la procédure étant gratuite (art. 61 let. a LPGA), ni d’allouer de dépens, dès lors que le recourant n’obtient pas gain de cause (art. 61 let. g LPGA). c) Par décision de la juge instructrice du 21 octobre 2019, le recourant a été mis au bénéfice de l’assistance judiciaire avec effet au 16 septembre 2019 et a obtenu à ce titre la commission d’un avocat d’office</w:t>
      </w:r>
    </w:p>
    <w:p>
      <w:r>
        <w:t>- 32 - en la personne de Me François Gillard. Ce dernier a produit sa liste des opérations le 18 novembre 2020. Ces opérations étant justifiées, il convient d'arrêter à 2’100 fr. l'indemnité de Me Gillard, correspondant à onze heures et quarante minutes de travail, sur la base d'un tarif horaire de 180 fr., somme à laquelle il y a lieu d’ajouter la TVA au taux de 7,7 %, soit un total de 2’261 fr. 70 (2’100 fr. + 161 fr. 70). A ce montant, il convient d’ajouter les débours fixés forfaitairement à 5 % du défraiement hors taxe (art. 3bis al. 1 RAJ [règlement cantonal vaudois du 7 décembre 2010 sur l’assistance judiciaire en matière civile ; BLV 211.02.3]), avec TVA au taux de 7,7 % en sus, soit 113 fr. 10 (105 fr. + 8 fr. 10). L’indemnité totale sera donc arrêtée à 2’374 fr. 80 (2’261 fr. 70 + 113 fr. 10). d) Le recourant est rendu attentif au fait qu’il devra rembourser l’indemnité du conseil d’office dès qu’il sera en mesure de le faire (art. 123 al. 1 CPC [Code de procédure civile du 19 décembre 2008 ; RS 272]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