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ZA19.036721 vom 14. Mai 2020</w:t>
      </w:r>
    </w:p>
    <w:p>
      <w:r>
        <w:t>VD Tribunal cantonal, 2020-05-14, FR</w:t>
      </w:r>
    </w:p>
    <w:p>
      <w:r>
        <w:rPr>
          <w:b/>
        </w:rPr>
        <w:t xml:space="preserve">Quelle: </w:t>
      </w:r>
      <w:r>
        <w:t>https://mcp.opencaselaw.ch/entscheid/vd_gerichte_ZA19.036721</w:t>
      </w:r>
    </w:p>
    <w:p>
      <w:r>
        <w:t>FR: VD_GERICHTE ZA19.036721 du 14 mai 2020</w:t>
      </w:r>
    </w:p>
    <w:p>
      <w:r>
        <w:t>IT: VD_GERICHTE ZA19.036721 del 14 maggio 2020</w:t>
      </w:r>
    </w:p>
    <w:p>
      <w:pPr>
        <w:pStyle w:val="Heading2"/>
      </w:pPr>
      <w:r>
        <w:t>Erwägungen</w:t>
      </w:r>
    </w:p>
    <w:p>
      <w:r>
        <w:rPr>
          <w:b/>
        </w:rPr>
        <w:t>E. 7</w:t>
      </w:r>
    </w:p>
    <w:p>
      <w:r>
        <w:t>En l’espèce, compte tenu de la jurisprudence précitée (cf. consid. 5 supra), il convient dans un premier temps de déterminer si le recourant a été victime d’un accident le 13 novembre 2017. a) Au vu des pièces au dossier, force est de constater que la description de l’événement n’a cessé d’évoluer au gré de la procédure. i) Dans un premier temps, il n’est fait mention que d’un « faux mouvement » (cf. rapport du 21 décembre 2017 du Dr D.________) ou d’un gros effort de l’épaule de gauche (cf. demande de prestations à l’OAI du 18 avril 2018). Le Dr N.________ avait d’ailleurs précisé le 4 mai 2018 que les diagnostics posés existaient depuis le 13 novembre 2017, la cause des atteintes étant était la maladie, sans facteur déclenchant (cf. rapport du 4 mai 2018 produit avec la réponse). Les douleurs à l’épaule gauche survenaient en outre après une quelconque sollicitation. ii) Dans un deuxième temps et ensuite de l’intervention de LOYCO SA, mandataire de l’intéressé, il a été indiqué que ce dernier livrait une porte chez un client. Il la portait avec l’aide de celui-ci lorsque la porte s’était décalée et que tout le poids s’était mis sur son bras gauche. En voulant la stabiliser, il s’était blessé à l’épaule gauche (cf. déclaration de sinistre du 16 mai 2018 signé par LOYCO SA). iii) Dans un troisième et dernier temps – ensuite du courrier du 1er juin 2018 de l’intimée expliquant que, selon les documents en sa possession, il n’y avait pas eu d’accident au sens légal du terme –, la précision selon laquelle le panneau pesant environ 80 kg a été apportée. En outre, ledit panneau aurait glissé des mains de la personne qui aidait le recourant, ce dernier l’ayant alors retenu par réflexe pour ne pas l’abimer (cf. rapport du Dr N.________ des 14 juin 2018 et 3 avril 2019, questionnaire du 29 juin 2018, rapport des Drs J.________ et A.________ du 3 septembre 2018, entretien du 31 janvier 2019 avec un collaborateur de l’assureur-maladie, rapport du Dr W.________ du 15 avril 2019).</w:t>
      </w:r>
    </w:p>
    <w:p>
      <w:r>
        <w:t>- 26 - b) En application de la maxime de preuve relative aux déclarations initiales du recourant (cf. consid. 6b supra) et eu égard aux éléments susmentionnés dans un premier temps (cf. consid 7a/i supra) – soit avant l’intervention du mandataire de l’intéressé et de la prise de position de l’intimée du 1er juin 2018 quant à l’existence d’un accident –, il convient de retenir que le recourant n’a effectué qu’un faux mouvement en date du 13 novembre 2017, à l’exclusion de tout facteur déclenchant extérieur. A toutes fins utiles et contrairement à ce que soutient l’intéressé, il est précisé que les descriptions des faits contenues dans des rapports médicaux reposent notoirement sur des déclarations faites par le recourant aux médecins. Ces descriptions peuvent former un faisceau d’indices fort quant à la manière dont s’est déroulé l’événement incriminé. Il est en effet improbable que plusieurs médecins, à savoir les Drs D.________ et N.________ in casu, aient décrit un déroulement contredisant les déclarations que l’intéressé leur avait faites (voir dans ce sens TF 8C_530/2017 du 19 décembre 2017 consid. 4.4). Il est tout aussi improbable que les médecins aient décrit l'événement sans se fonder sur les déclarations propres du recourant. Partant, à défaut de facteur extérieur déclenchant, aucun événement accidentel survenu en date du 13 novembre 2017 ne sera retenu au sens de l’art. 4 LPGA. c) Quand bien même le recourant serait suivi dans ses dernières explications – soit ensuite du courrier de l’intimée du 1er juin 2018 –, la condition du facteur extérieur extraordinaire ferait de toute manière défaut. i) Dans ce cadre, le recourant se réfère à un arrêt du Tribunal fédéral du 11 août 2015 (TF 8C_194/2015). Cet arrêt concernait un assuré, poseur de sols, qui avait déplacé et appuyé contre une table un rouleau de moquette de 4,20 mètres de long et d’environ 100 kilos qui le gênait. Le rouleau avait alors glissé et, par réflexe, l’assuré s’était précipité pour le retenir et l’avait saisi par le bout de la main droite. L’objet tombait d’une hauteur de 1 mètre 50. Selon le Tribunal fédéral, le mouvement corporel</w:t>
      </w:r>
    </w:p>
    <w:p>
      <w:r>
        <w:t>- 27 - de l’assuré avait été interrompu par un phénomène non programmé, à savoir la chute du rouleau de moquette. Ce phénomène avait provoqué chez lui un mouvement brusque et incontrôlé au niveau du membre supérieur droit. Ce mouvement non coordonné avait présenté une certaine intensité, compte tenu de sa soudaineté et surtout du poids - notoirement élevé - d'un rouleau de moquette. Il en était résulté une sollicitation du corps bien plus importante que la normale, que l'on ne saurait considérer comme habituelle pour un poseur de sols. Les conditions d’un accident étaient donc réalisées. Dans l’arrêt précité, le Tribunal fédéral a estimé que le cas d’espèce se distinguait de deux autres traités également par ses soins. Dans un arrêt 8C_726/2009 du 30 avril 2010, il avait à se prononcer sur l'existence d'un facteur extraordinaire dans le cas d'un infirmier qui s'était fait mal au niveau des cervicales en se retournant brusquement pour tenter de retenir une patiente, laquelle s'était levée de sa chaise roulante. Le Tribunal fédéral a considéré que si la condition du facteur extérieur était réalisée au travers du mouvement de torsion brusque effectué par l'infirmier, ce mouvement ne revêtait pas un caractère extraordinaire justifiant d'admettre la survenance d'un accident. La rotation effectuée dans la précipitation pour retenir une patiente n'était pas inhabituelle pour un infirmier et il n'apparaissait pas non plus que le mouvement non coordonné se soit déroulé de manière non programmée, en tant qu'un fait extérieur particulier serait venu interférer celui-ci (TF 8C_194/2015 du 11 août 2015 consid. 5.2.2 et réf. citée). Un arrêt 8C_1019/2009 du 26 mai 2010 concernait une aide- soignante qui s'était blessée à l'épaule en rattrapant une caisse de livres qui lui avait glissé des mains. Selon le Tribunal fédéral, le déroulement naturel du mouvement corporel n'avait pas été modifié par un phénomène non programmé. Rien n'indiquait non plus une sollicitation de l'organisme plus élevée que la normale. Enfin, le facteur extérieur n'était pas suffisamment inhabituel pour supprimer l'influence de l'élément</w:t>
      </w:r>
    </w:p>
    <w:p>
      <w:r>
        <w:t>- 28 - endogène, in casu une instabilité chronique de l'épaule (TF 8C_194/2015 du 11 août 2015 consid. 5.2.2 et réf. citée). ii) Le présent cas est à différencier de l’arrêt TF 8C_194/2015 invoqué par le recourant, mais à rapprocher des arrêts TF 8C_726/2009 et 8C_1019/2009 précités. En effet, peu importe le comportement de la personne qui aidait l’intéressé à porter le panneau, il ressort des événements tels que décrits par celui-ci – même dans sa version la plus favorable au recourant – que le cas peut être comparé à celui de l’arrêt TF 8C_1019/2009, dans lequel une aide-soignante s'était blessée à l'épaule en rattrapant une caisse de livres qui lui avait glissé des mains. En l’espèce, il est rappelé que l’intéressé est chauffeur livreur poids lourds dans une société fournissant des matériaux dans le domaine du bâtiment. Il est donc habitué au transport d’objets encombrants et lourds. Le 13 novembre 2017, le panneau aurait été déstabilisé alors que l’intéressé le portait, amenant celui-ci à le retenir. Rien n’indique que le déroulement naturel du mouvement corporel inhérent au transport de ce matériel aurait été modifié par un phénomène non programmé : le recourant a simplement retenu le panneau. Il ne fait pas mention d’un mouvement particulier qui ne serait pas naturel tel que se baisser, se tordre, s’allonger, subir une traction, etc. Malgré le poids du panneau, rien n’indique non plus qu’il ait dû user d’une force particulière, sortant du cadre usuel du transport de tels panneaux. Le facteur extérieur n’est en en effet pas suffisamment inhabituel pour supprimer l’influence de l’élément endogène, soit l’instabilité chronique de l’épaule gauche. L’intéressé a lui-même précisé que l’activité qu’il avait déployée le 13 novembre 2017 était pour lui une activité habituelle (cf. questionnaire du 29 juin 2018). Dès lors, retenir un panneau qui est en train de glisser – durant son transport – ne saurait être considéré comme sortant du cadre usuel de son activité d) Partant, force est de constater que les conditions à la reconnaissance d’un accident au sens de l’art. 4 LPGA ne sont in casu par réalisées, de sorte qu’il est constaté que le recourant échoue à prouver, au</w:t>
      </w:r>
    </w:p>
    <w:p>
      <w:r>
        <w:t>- 29 - stade de la vraisemblance prépondérante, avoir été victime d’un accident le 13 novembre 2017.</w:t>
      </w:r>
    </w:p>
    <w:p>
      <w:r>
        <w:rPr>
          <w:b/>
        </w:rPr>
        <w:t>E. 8</w:t>
      </w:r>
    </w:p>
    <w:p>
      <w:r>
        <w:t>Au vu de ce qui précède, il y a lieu dans un second temps de déterminer si le recourant peut néanmoins prétendre à des prestations de l’intimée sur la base de l’art. 6 al. 2 LAA (cf. consid. 4 et 5 supra). a) D’emblée, il est constaté qu’une lésion d’un tendon, même partielle comme dans le cas de l’intéressé, entre dans la définition d’une déchirure tendineuse assimilée à un accident au sens de l’art. 6 al. 2 let f LAA (TF 8C_36/2017 du 5 septembre 2017 consid. 5.2.1, 8C_61/2016 du 19 décembre 2016 consid. 5.1). b) Se pose ainsi la question de savoir si l’intimée a prouvé que cette atteinte à la santé du recourant était due de manière prépondérante à l’usure ou à une maladie (cf. consid. 4 supra), ce que l’intéressé conteste. A cet égard, les Dres G.________ (cf. appréciations des 30 janvier et 22 mars 2019) et P.________ (cf. appréciations des 14 octobre 2019 et 25 février 2020), ont considéré que les atteintes à la santé étaient dues de manière prépondérante à l’usure ou la maladie. Le recourant conteste la valeur probante de ces rapports. Or, la Dre P.________ a répondu de manière plausible aux questions qui se posaient. Dans son appréciation du 14 octobre 2019, elle a constaté la présence d’atteintes partielles du tendon du muscle supra- épineux et sous-scapulaire. Elle a cependant relevé que, chez le recourant, il y avait un état après résection de la clavicule distale des deux côtés sur probable conflit sous-acromial, étant précisé qu’en présence d’un tel conflit, l’usure tendineuse qui s’ensuit persistait même après traitement. Il n’y avait aucune impotence fonctionnelle immédiate/pseudo-paralysie documentée et le mécanisme accidentel était peu enclin à entraîner une atteinte tendineuse. De plus, selon la description du Dr J.________ lors de son intervention chirurgicale, un conflit sous-acromial serait toujours</w:t>
      </w:r>
    </w:p>
    <w:p>
      <w:r>
        <w:t>- 30 - présent. Ces éléments plaidaient pour une origine principalement d’usure ou de maladie. Elle a estimé que le rapport du Dr N.________ du 3 avril 2019 ne remettait pas cette conclusion en cause. Elle s’étonnait de l’attestation qui y figurait d’une « abduction limitée à 45 % » ou encore du fait que l’intéressé n’« était plus apte à utiliser son membre supérieur gauche ». Sur ce point, elle regrettait que le Dr N.________ n’ait décrit aucune constatation clinique dans le rapport du 14 juin 2018. Elle relevait néanmoins que le recourant avait continué à travailler pendant presque une semaine comme chauffeur poids lourds ensuite de l’événement du</w:t>
      </w:r>
    </w:p>
    <w:p>
      <w:r>
        <w:rPr>
          <w:b/>
        </w:rPr>
        <w:t>E. 13</w:t>
      </w:r>
    </w:p>
    <w:p>
      <w:r>
        <w:t>novembre 2017. Or, une abduction limitée à 45° paraissait empêcher une telle activité. Sur ce dernier point, il convient de relever qu’au vu de l’historique des pièces médicales figurant dans son rapport et de ce qui précède, la Dre P.________ n’a manifestement pas eu connaissance du rapport du 4 mai 2018 du Dr N.________, lequel a été produit dans le cadre du dossier de l’assureur-maladie par l’intimée avec sa réponse du 20 novembre 2019. Il est précisé que ce dossier maladie avait été adressé à l’intimée le 14 juin 2018 mais n’a pas été versé au dossier constitué ensuite de la déclaration de sinistre. Cela étant, le rapport du 4 mai 2018 n’a ainsi vraisemblablement pas été soumis à la Dre P.________. Or, il ressort de ce rapport, outre le fait que le Dr N.________ avait indiqué que la cause de l’incapacité de travail était la maladie sans facteur déclenchant, que ce médecin avait relevé qu’au constat clinique, les rotations interne et externe était de 90° et l’abduction et l’élévation étaient de 180°. Il apparaît ainsi que l’événement du 13 novembre 2017 n’avait pas entraîné les limitations évoquées par le Dr N.________ dans son rapport du 3 avril 2019 et que dites limitations seraient apparues par la suite, sans lien avec l’événement. Ce qui précède tend ainsi à confirmer l’appréciation de la Dre P.________. Au surplus, cette dernière a estimé que le rapport du 15 avril 2019 du Dr W.________ ne remettait pas en cause ses conclusions, ce médecin se contentant d’émettre un avis personnel sans réel</w:t>
      </w:r>
    </w:p>
    <w:p>
      <w:r>
        <w:t>- 31 - argumentation basée sur des éléments objectifs ignorés (cf. appréciation du 14 octobre 2019). Ensuite de cette appréciation, le Dr W.________ a rendu un rapport du 5 décembre 2019. En substance, il y fait grief à la Dre P.________ de ne pas avoir reconnu que le mouvement du recourant de rattrapage du panneau le 13 novembre 2017 correspondait à un « mouvement passif violent du bras en arrière et en dedans, ou du bras stabilisé musculairement », susceptible de provoquer une lésion de la coiffe des rotateurs. Egalement, il reprochait à la Dre P.________ d’avoir considéré que l’intéressé n’aurait pas subi d’atteinte immédiate de la mobilité active en élévation ou en rotation externe ni développé une épaule pseudoparalytique, alors qu’il avait constaté le 20 novembre 2017 l’impossibilité d’une abduction au-delà de 45°. Il a ensuite estimé que la Dre P.________ avait spéculé quant aux éventuelles lésions préexistantes à l’événement du 13 novembre 2017 et qu’il n’y avait aucun élément plaidant pour la présence d’une déchirure, même partielle, du tendon du sus-épineux ou du sous-scapulaire avant ledit événement. Enfin, il a relevé que, selon la littérature médicale, des lésions du tendon du sous- scapulaire isolées étaient presque toujours des lésions post-traumatiques. La Dre P.________ a répondu au Dr W.________ dans une nouvelle appréciation du 25 février 2020. Elle y a estimé qu’il n’était pas possible de retenir que le recourant avait subi le 13 novembre 2017 un mouvement passif violent du bras en arrière et en dedans, ou du bras stabilisé musculairement, les documents au dossier décrivant l’événement de différentes manières. Sur ce point, l’on ne peut que se joindre à l’avis de la Dre P.________ (cf. consid 7a supra), de sorte que le recourant échoue à prouver, au stade de la vraisemblance prépondérante, avoir subi les mouvements allégués. Ensuite, la Dre P.________ a évoqué plusieurs éléments plaidant contre l’apparition d’une pseudo-paralysie. A ce sujet, on rappellera que le Dr N.________ mentionnait avoir constaté cliniquement une abduction de 180° dans son rapport du 4 mai 2018, ce dont n’a pas eu connaissance la Dre P.________. Dès lors, il ne saurait être retenu que l’abduction était limitée à 45° le 20 novembre 2017 comme l’a avancé le</w:t>
      </w:r>
    </w:p>
    <w:p>
      <w:r>
        <w:t>- 32 - Dr W.________. Par ailleurs, la Dre P.________ a reconnu qu’au vu du peu de documentation à disposition quant à la pathologie ayant entrainé la résection acromio-claviculaire, elle avait été un peu hâtive. Toutefois, il était constant qu’avant l’événement du 13 novembre 2017, le recourant avait été opéré de l’épaule gauche et que radiologiquement il était objectivé un état après-résection acromio-claviculaire à gauche et à droite, le Dr W.________ mentionnant d’ailleurs une acromioplastie des deux côtés en 1998. Une telle résection est motivée par des douleurs qui sont dues principalement par un remaniement arthrosique. Compte tenu de ce qui précède, il était évident que l’événement survenu le 13 novembre 2017 s’était déroulé sur un état préexistant, quel qu’il soit, puisque l’épaule présentait un état après opération. Enfin, la théorie médicale invoquée par le Dr W.________ quant à une atteinte isolée du muscle subscapulaire ne trouvait pas application dans le cas du recourant pour deux raisons. Premièrement, l’intéressé ne présentait pas cette atteinte de manière isolée comme exigée par la littérature médicale, mais souffrait également d’une atteinte du tendon du muscle supra-épineux, conjointement à un conflit sous-acromial et une chondropathie de la glène. Secondement, une telle atteinte isolée du tendon du muscle subscapulaire se rencontrait principalement à la suite d’une luxation scapulo-humérale, comme décrit dans la même théorie médicale. Or, le recourant n’avait pas subi une telle luxation. La Dre P.________ a dès lors confirmé ses conclusions. c) Partant, force est de retenir que la lecture des appréciations des 14 octobre 2019 et 25 février 2020 de la Dre P.________ permet de constater que les points litigieux essentiels ont été étudiés, que si lesdits rapports ne reposent pas sur un examen clinique, pourtant exigible en l’occurrence eu égard à l’obligation d’instruire incombant à l’intimée au stade de la procédure administrative, ils se fondent sur les pièces au dossier, qu’ils ont été établis en pleine connaissance du dossier (anamnèse), que la description du contexte médical et l’appréciation de la situation médicale sont claires et enfin que les conclusions sont motivées (cf. consid. 6a supra). Par conséquent, une pleine valeur probante peut leur être reconnue, l’intéressé n’amenant aucun élément objectif susceptible de jeter le doute sur les conclusions de la Dre P.________.</w:t>
      </w:r>
    </w:p>
    <w:p>
      <w:r>
        <w:t>- 33 - L’intimée était donc légitimée à retenir que les déchirures des tendons du recourant étaient dues de manière prépondérante à l’usure ou à une maladie. d) En définitive, en l’absence également d’un accident au sens légal survenu le 13 novembre 2017 (cf. consid. 7 supra), l’intimée n’avait effectivement pas à prester en faveur de l’intéressé. 9. Le recourant fait grief à l’intimée de ne pas avoir instruit son dossier avec la diligence requise. Or, dès réception de la déclaration d’accident, elle a requis sans discontinuer les pièces médicales nécessaires et l’intéressé n’indique pas qu’il en manquerait. S’agissant du mécanisme de l’événement du 13 novembre 2017, une instruction complémentaire n’aurait pas amené d’éléments déterminants ; le recourant confirmerait ses dernières déclarations et un rapport supplémentaire du Dr N.________ aurait été inutile au vu du contenu celui du 4 mai 2018. L’audition du témoin annoncé dans le cadre de la déclaration pouvait être écartée à réception des pièces de l’assureur- maladie adressées à l’intimée par courrier du 14 juin 2018, dans les suites immédiates de la demande en ce sens de cette dernière du 22 mai 2018. En conséquence, les requêtes d’’auditions du recourant, d’un témoin (cf. recours du 15 août 2019) et du Dr N.________, ainsi que celle tendant à la mise en œuvre d’une expertise médicale (cf. réplique du 3 janvier 2020) doivent être rejetées. En effet, les pièces au dossier permettent de statuer en connaissance de cause et les auditions et expertise requises ne permettraient pas, selon toute vraisemblance, de poser d’autres constatations relatives à l’état de fait pertinent (appréciation anticipée des preuves ; ATF 130 II 425 consid. 2.1 ; 122 II 464 consid. 4a ; 122 III 219 consid. 3c ; 120 Ib 224 consid. 2b). 10. a) En conclusion, le recours, mal fondé, doit être rejeté et la décision sur opposition attaquée confirmée.</w:t>
      </w:r>
    </w:p>
    <w:p>
      <w:r>
        <w:t>- 34 -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